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ind w:firstLine="720" w:start="720" w:end="0"/>
        <w:rPr>
          <w:rFonts w:ascii="Times New Roman" w:hAnsi="Times New Roman" w:cs="Times New Roman"/>
          <w:sz w:val="24"/>
        </w:rPr>
      </w:pPr>
      <w:r>
        <w:rPr>
          <w:rFonts w:cs="Times New Roman" w:ascii="Times New Roman" w:hAnsi="Times New Roman"/>
          <w:sz w:val="24"/>
        </w:rPr>
      </w:r>
    </w:p>
    <w:p>
      <w:pPr>
        <w:pStyle w:val="Heading5"/>
        <w:rPr>
          <w:rFonts w:ascii="Times New Roman" w:hAnsi="Times New Roman" w:cs="Times New Roman"/>
          <w:sz w:val="24"/>
        </w:rPr>
      </w:pPr>
      <w:r>
        <w:rPr>
          <w:rFonts w:cs="Times New Roman" w:ascii="Times New Roman" w:hAnsi="Times New Roman"/>
          <w:sz w:val="24"/>
        </w:rPr>
        <w:t>CONFIRMATION LETTER</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start="720" w:end="0"/>
        <w:rPr>
          <w:rFonts w:ascii="Times New Roman" w:hAnsi="Times New Roman" w:cs="Times New Roman"/>
          <w:sz w:val="24"/>
        </w:rPr>
      </w:pPr>
      <w:r>
        <w:rPr>
          <w:rFonts w:cs="Times New Roman" w:ascii="Times New Roman" w:hAnsi="Times New Roman"/>
          <w:sz w:val="24"/>
        </w:rPr>
      </w:r>
    </w:p>
    <w:p>
      <w:pPr>
        <w:pStyle w:val="Normal"/>
        <w:tabs>
          <w:tab w:val="clear" w:pos="720"/>
          <w:tab w:val="left" w:pos="0" w:leader="none"/>
        </w:tabs>
        <w:rPr>
          <w:rFonts w:ascii="Times New Roman" w:hAnsi="Times New Roman" w:cs="Times New Roman"/>
          <w:sz w:val="24"/>
        </w:rPr>
      </w:pPr>
      <w:r>
        <w:rPr>
          <w:rFonts w:cs="Times New Roman" w:ascii="Times New Roman" w:hAnsi="Times New Roman"/>
          <w:sz w:val="24"/>
        </w:rPr>
        <w:t>This Confirmation Letter is being provided pursuant to and in accordance with the Master Energy Purchase and Sale Agreement dated January 14, 2000 (the “Master Agreement”) between Smurfit Stone Container Corporation, ("SSC") and Enron Power Marketing, Inc. ("EPMI"), and constitutes part of such Master Agreement.  Terms used but not defined herein shall have the meanings ascribed to them in this Master Agreement.</w:t>
      </w:r>
    </w:p>
    <w:p>
      <w:pPr>
        <w:pStyle w:val="Normal"/>
        <w:tabs>
          <w:tab w:val="clear" w:pos="720"/>
          <w:tab w:val="left" w:pos="0" w:leader="none"/>
        </w:tabs>
        <w:rPr>
          <w:rFonts w:ascii="Times New Roman" w:hAnsi="Times New Roman" w:cs="Times New Roman"/>
          <w:sz w:val="24"/>
        </w:rPr>
      </w:pPr>
      <w:r>
        <w:rPr>
          <w:rFonts w:cs="Times New Roman" w:ascii="Times New Roman" w:hAnsi="Times New Roman"/>
          <w:sz w:val="24"/>
        </w:rPr>
      </w:r>
    </w:p>
    <w:p>
      <w:pPr>
        <w:pStyle w:val="Normal"/>
        <w:numPr>
          <w:ilvl w:val="0"/>
          <w:numId w:val="10"/>
        </w:numPr>
        <w:rPr>
          <w:rFonts w:ascii="Times New Roman" w:hAnsi="Times New Roman" w:cs="Times New Roman"/>
          <w:b/>
          <w:sz w:val="24"/>
        </w:rPr>
      </w:pPr>
      <w:r>
        <w:rPr>
          <w:rFonts w:cs="Times New Roman" w:ascii="Times New Roman" w:hAnsi="Times New Roman"/>
          <w:b/>
          <w:sz w:val="24"/>
        </w:rPr>
        <w:t>Parties:</w:t>
      </w:r>
    </w:p>
    <w:p>
      <w:pPr>
        <w:pStyle w:val="Normal"/>
        <w:rPr>
          <w:rFonts w:ascii="Times New Roman" w:hAnsi="Times New Roman" w:cs="Times New Roman"/>
          <w:b/>
          <w:sz w:val="24"/>
        </w:rPr>
      </w:pPr>
      <w:r>
        <w:rPr>
          <w:rFonts w:cs="Times New Roman" w:ascii="Times New Roman" w:hAnsi="Times New Roman"/>
          <w:b/>
          <w:sz w:val="24"/>
        </w:rPr>
      </w:r>
    </w:p>
    <w:p>
      <w:pPr>
        <w:pStyle w:val="Normal"/>
        <w:ind w:firstLine="360" w:end="0"/>
        <w:rPr/>
      </w:pPr>
      <w:r>
        <w:rPr>
          <w:rFonts w:cs="Times New Roman" w:ascii="Times New Roman" w:hAnsi="Times New Roman"/>
          <w:sz w:val="24"/>
        </w:rPr>
        <w:t>Buyer</w:t>
      </w:r>
      <w:r>
        <w:rPr>
          <w:rFonts w:cs="Times New Roman" w:ascii="Times New Roman" w:hAnsi="Times New Roman"/>
          <w:b/>
          <w:sz w:val="24"/>
        </w:rPr>
        <w:t>:</w:t>
      </w:r>
      <w:r>
        <w:rPr>
          <w:rFonts w:cs="Times New Roman" w:ascii="Times New Roman" w:hAnsi="Times New Roman"/>
          <w:sz w:val="24"/>
        </w:rPr>
        <w:tab/>
        <w:tab/>
        <w:t>EPMI</w:t>
      </w:r>
    </w:p>
    <w:p>
      <w:pPr>
        <w:pStyle w:val="Normal"/>
        <w:ind w:firstLine="360" w:end="0"/>
        <w:rPr/>
      </w:pPr>
      <w:r>
        <w:rPr>
          <w:rFonts w:cs="Times New Roman" w:ascii="Times New Roman" w:hAnsi="Times New Roman"/>
          <w:sz w:val="24"/>
        </w:rPr>
        <w:t>Seller:</w:t>
      </w:r>
      <w:r>
        <w:rPr>
          <w:rFonts w:cs="Times New Roman" w:ascii="Times New Roman" w:hAnsi="Times New Roman"/>
          <w:b/>
          <w:sz w:val="24"/>
        </w:rPr>
        <w:tab/>
      </w:r>
      <w:r>
        <w:rPr>
          <w:rFonts w:cs="Times New Roman" w:ascii="Times New Roman" w:hAnsi="Times New Roman"/>
          <w:sz w:val="24"/>
        </w:rPr>
        <w:tab/>
        <w:t>SSC</w:t>
      </w:r>
    </w:p>
    <w:p>
      <w:pPr>
        <w:pStyle w:val="Normal"/>
        <w:rPr>
          <w:rFonts w:ascii="Times New Roman" w:hAnsi="Times New Roman" w:cs="Times New Roman"/>
          <w:sz w:val="24"/>
        </w:rPr>
      </w:pPr>
      <w:r>
        <w:rPr>
          <w:rFonts w:cs="Times New Roman" w:ascii="Times New Roman" w:hAnsi="Times New Roman"/>
          <w:sz w:val="24"/>
        </w:rPr>
      </w:r>
    </w:p>
    <w:p>
      <w:pPr>
        <w:pStyle w:val="Normal"/>
        <w:tabs>
          <w:tab w:val="clear" w:pos="720"/>
          <w:tab w:val="left" w:pos="360" w:leader="none"/>
        </w:tabs>
        <w:ind w:hanging="1440" w:start="1440" w:end="0"/>
        <w:rPr/>
      </w:pPr>
      <w:r>
        <w:rPr>
          <w:rFonts w:cs="Times New Roman" w:ascii="Times New Roman" w:hAnsi="Times New Roman"/>
          <w:b/>
          <w:sz w:val="24"/>
        </w:rPr>
        <w:t>2.</w:t>
        <w:tab/>
        <w:t>Term:</w:t>
        <w:tab/>
      </w:r>
      <w:r>
        <w:rPr>
          <w:rFonts w:cs="Times New Roman" w:ascii="Times New Roman" w:hAnsi="Times New Roman"/>
          <w:sz w:val="24"/>
        </w:rPr>
        <w:t xml:space="preserve">March 1, 2001 – April 30, 2001  </w:t>
      </w:r>
    </w:p>
    <w:p>
      <w:pPr>
        <w:pStyle w:val="Heading1"/>
        <w:ind w:hanging="360" w:start="360" w:end="0"/>
        <w:jc w:val="start"/>
        <w:rPr/>
      </w:pPr>
      <w:r>
        <w:rPr>
          <w:rFonts w:cs="Times New Roman" w:ascii="Times New Roman" w:hAnsi="Times New Roman"/>
          <w:sz w:val="24"/>
        </w:rPr>
        <w:t>3.</w:t>
      </w:r>
      <w:r>
        <w:rPr>
          <w:rFonts w:cs="Times New Roman" w:ascii="Times New Roman" w:hAnsi="Times New Roman"/>
          <w:b w:val="false"/>
          <w:sz w:val="24"/>
        </w:rPr>
        <w:tab/>
      </w:r>
      <w:r>
        <w:rPr>
          <w:rFonts w:cs="Times New Roman" w:ascii="Times New Roman" w:hAnsi="Times New Roman"/>
          <w:sz w:val="24"/>
        </w:rPr>
        <w:t>D</w:t>
      </w:r>
      <w:r>
        <w:rPr>
          <w:rFonts w:cs="Times New Roman" w:ascii="Times New Roman" w:hAnsi="Times New Roman"/>
          <w:caps w:val="false"/>
          <w:smallCaps w:val="false"/>
          <w:sz w:val="24"/>
        </w:rPr>
        <w:t>elivery Point</w:t>
      </w:r>
      <w:r>
        <w:rPr>
          <w:rFonts w:cs="Times New Roman" w:ascii="Times New Roman" w:hAnsi="Times New Roman"/>
          <w:b w:val="false"/>
          <w:sz w:val="24"/>
        </w:rPr>
        <w:t>:</w:t>
        <w:tab/>
        <w:t>t</w:t>
      </w:r>
      <w:r>
        <w:rPr>
          <w:rFonts w:cs="Times New Roman" w:ascii="Times New Roman" w:hAnsi="Times New Roman"/>
          <w:b w:val="false"/>
          <w:caps w:val="false"/>
          <w:smallCaps w:val="false"/>
          <w:sz w:val="24"/>
        </w:rPr>
        <w:t xml:space="preserve">he point of all sales and purchases hereunder shall be SP-15 as defined by the California Independent System Operator (“CAISO”).  In the event that SP-15 is split into multiple zones in the future, the Delivery Point shall be the Zone that contains the interconnection (plant busbar) between SSC and the CAISO.  </w:t>
      </w:r>
    </w:p>
    <w:p>
      <w:pPr>
        <w:pStyle w:val="Normal"/>
        <w:ind w:hanging="360" w:start="360" w:end="0"/>
        <w:rPr>
          <w:rFonts w:ascii="Times New Roman" w:hAnsi="Times New Roman" w:cs="Times New Roman"/>
          <w:b/>
          <w:sz w:val="24"/>
        </w:rPr>
      </w:pPr>
      <w:r>
        <w:rPr>
          <w:rFonts w:cs="Times New Roman" w:ascii="Times New Roman" w:hAnsi="Times New Roman"/>
          <w:b/>
          <w:sz w:val="24"/>
        </w:rPr>
        <w:t>4.</w:t>
        <w:tab/>
        <w:t>Definitions:</w:t>
      </w:r>
    </w:p>
    <w:p>
      <w:pPr>
        <w:pStyle w:val="Normal"/>
        <w:numPr>
          <w:ilvl w:val="0"/>
          <w:numId w:val="7"/>
        </w:numPr>
        <w:tabs>
          <w:tab w:val="left" w:pos="720" w:leader="none"/>
        </w:tabs>
        <w:ind w:hanging="360" w:start="720" w:end="0"/>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DASQ” means the Day Ahead Scheduled Quantity that is the Quantity Pre-scheduled by Seller.</w:t>
      </w:r>
    </w:p>
    <w:p>
      <w:pPr>
        <w:pStyle w:val="Normal"/>
        <w:numPr>
          <w:ilvl w:val="0"/>
          <w:numId w:val="7"/>
        </w:numPr>
        <w:tabs>
          <w:tab w:val="left" w:pos="720" w:leader="none"/>
        </w:tabs>
        <w:ind w:hanging="360" w:start="720" w:end="0"/>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AQ” means the Actual Quantity (“AQ”) that is the amount of energy actually generated as determined by the California Independent System Operator (“CAISO”).</w:t>
      </w:r>
    </w:p>
    <w:p>
      <w:pPr>
        <w:pStyle w:val="Normal"/>
        <w:numPr>
          <w:ilvl w:val="0"/>
          <w:numId w:val="7"/>
        </w:numPr>
        <w:tabs>
          <w:tab w:val="left" w:pos="720" w:leader="none"/>
        </w:tabs>
        <w:ind w:hanging="360" w:start="720" w:end="0"/>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FP” stands for fixed price as documented in a separate Confirmation Letter.</w:t>
      </w:r>
    </w:p>
    <w:p>
      <w:pPr>
        <w:pStyle w:val="Normal"/>
        <w:numPr>
          <w:ilvl w:val="0"/>
          <w:numId w:val="7"/>
        </w:numPr>
        <w:tabs>
          <w:tab w:val="left" w:pos="720" w:leader="none"/>
        </w:tabs>
        <w:ind w:hanging="360" w:start="720" w:end="0"/>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MCP” is the California Power Exchange Post Congested Day Ahead Market Clearing Price.</w:t>
      </w:r>
    </w:p>
    <w:p>
      <w:pPr>
        <w:pStyle w:val="Normal"/>
        <w:numPr>
          <w:ilvl w:val="0"/>
          <w:numId w:val="7"/>
        </w:numPr>
        <w:tabs>
          <w:tab w:val="left" w:pos="720" w:leader="none"/>
        </w:tabs>
        <w:ind w:hanging="360" w:start="720" w:end="0"/>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Instructed Quantity Deviations” means differences between the DASQ and the AQ that result due to dispatch instructions from the CAISO.</w:t>
      </w:r>
    </w:p>
    <w:p>
      <w:pPr>
        <w:pStyle w:val="Normal"/>
        <w:numPr>
          <w:ilvl w:val="0"/>
          <w:numId w:val="7"/>
        </w:numPr>
        <w:tabs>
          <w:tab w:val="clear" w:pos="720"/>
        </w:tabs>
        <w:ind w:hanging="360" w:start="720" w:end="0"/>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Uninstructed Quantity Deviations” means differences between the DASQ and the AQ that are not the result of dispatch instructions from the CAISO.</w:t>
      </w:r>
    </w:p>
    <w:p>
      <w:pPr>
        <w:pStyle w:val="Normal"/>
        <w:numPr>
          <w:ilvl w:val="0"/>
          <w:numId w:val="7"/>
        </w:numPr>
        <w:tabs>
          <w:tab w:val="left" w:pos="720" w:leader="none"/>
        </w:tabs>
        <w:ind w:hanging="360" w:start="720" w:end="0"/>
        <w:rPr>
          <w:rFonts w:ascii="Times New Roman" w:hAnsi="Times New Roman" w:cs="Times New Roman"/>
          <w:sz w:val="24"/>
        </w:rPr>
      </w:pPr>
      <w:r>
        <w:rPr>
          <w:rFonts w:cs="Times New Roman" w:ascii="Times New Roman" w:hAnsi="Times New Roman"/>
          <w:sz w:val="24"/>
        </w:rPr>
        <w:t>The “Inc Price,” as defined by the CAISO, is the Price paid by the CAISO for positive Instructed Quantity Deviations and the price charged by the CAISO for negative Uninstructed Quantity Deviations.</w:t>
      </w:r>
    </w:p>
    <w:p>
      <w:pPr>
        <w:pStyle w:val="Normal"/>
        <w:numPr>
          <w:ilvl w:val="0"/>
          <w:numId w:val="7"/>
        </w:numPr>
        <w:tabs>
          <w:tab w:val="left" w:pos="720" w:leader="none"/>
        </w:tabs>
        <w:ind w:hanging="360" w:start="720" w:end="0"/>
        <w:rPr>
          <w:rFonts w:ascii="Times New Roman" w:hAnsi="Times New Roman" w:cs="Times New Roman"/>
          <w:sz w:val="24"/>
        </w:rPr>
      </w:pPr>
      <w:r>
        <w:rPr>
          <w:rFonts w:cs="Times New Roman" w:ascii="Times New Roman" w:hAnsi="Times New Roman"/>
          <w:sz w:val="24"/>
        </w:rPr>
        <w:t>The “Dec Price,” as defined by the CAISO, is the Price charged by the CAISO for Negative Instructed Quantity Deviations and the Price paid for positive Uninstructed Quantity Deviations.</w:t>
      </w:r>
    </w:p>
    <w:p>
      <w:pPr>
        <w:pStyle w:val="Normal"/>
        <w:numPr>
          <w:ilvl w:val="0"/>
          <w:numId w:val="7"/>
        </w:numPr>
        <w:tabs>
          <w:tab w:val="left" w:pos="720" w:leader="none"/>
        </w:tabs>
        <w:ind w:hanging="360" w:start="720" w:end="0"/>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RRC” stands for replacement reserve cost and means the cost assessed by the CAISO for replacement reserves where B is negative.</w:t>
      </w:r>
    </w:p>
    <w:p>
      <w:pPr>
        <w:pStyle w:val="Normal"/>
        <w:ind w:start="360" w:end="0"/>
        <w:rPr>
          <w:rFonts w:ascii="Times New Roman" w:hAnsi="Times New Roman" w:cs="Times New Roman"/>
          <w:sz w:val="24"/>
        </w:rPr>
      </w:pPr>
      <w:r>
        <w:rPr>
          <w:rFonts w:cs="Times New Roman" w:ascii="Times New Roman" w:hAnsi="Times New Roman"/>
          <w:sz w:val="24"/>
        </w:rPr>
      </w:r>
    </w:p>
    <w:p>
      <w:pPr>
        <w:pStyle w:val="FootnoteText"/>
        <w:ind w:hanging="360" w:start="360" w:end="0"/>
        <w:rPr/>
      </w:pPr>
      <w:r>
        <w:rPr>
          <w:rFonts w:cs="Times New Roman" w:ascii="Times New Roman" w:hAnsi="Times New Roman"/>
          <w:b/>
          <w:sz w:val="24"/>
        </w:rPr>
        <w:t>5.</w:t>
        <w:tab/>
        <w:t xml:space="preserve">Scheduling Coordination Services -CalPX, CAISO and Bilateral Transactions: </w:t>
      </w:r>
      <w:r>
        <w:rPr>
          <w:rFonts w:cs="Times New Roman" w:ascii="Times New Roman" w:hAnsi="Times New Roman"/>
          <w:sz w:val="24"/>
        </w:rPr>
        <w:t xml:space="preserve">EPMI shall serve as the Scheduling Coordinator (“SC”) for SSC as contemplated by the Tariffs and protocols of the California Power Exchange (“CalPX”) and as defined by the Tariffs and protocols of the California Independent System Operator (“CAISO”).  As a SC, EPMI can enter into a variety of transactions with the CalPX and CAISO.    SSC and EPMI have agreed upon certain terms and conditions set forth below whereby EPMI may enter into certain transactions with SSC that are directly tied to related transactions with the CalPX and/or the CAISO.   The Parties have also agreed upon certain terms and conditions set forth below whereby EPMI may purchase Energy from SSC for resale in markets other than the CalPX and CAISO or purchase Energy from the CalPX and CAISO for resale to SSC (“Bilateral Market”).     </w:t>
      </w:r>
    </w:p>
    <w:p>
      <w:pPr>
        <w:pStyle w:val="FootnoteText"/>
        <w:rPr>
          <w:rFonts w:ascii="Times New Roman" w:hAnsi="Times New Roman" w:cs="Times New Roman"/>
          <w:sz w:val="24"/>
        </w:rPr>
      </w:pPr>
      <w:r>
        <w:rPr>
          <w:rFonts w:cs="Times New Roman" w:ascii="Times New Roman" w:hAnsi="Times New Roman"/>
          <w:sz w:val="24"/>
        </w:rPr>
      </w:r>
    </w:p>
    <w:p>
      <w:pPr>
        <w:pStyle w:val="FootnoteText"/>
        <w:ind w:start="360" w:end="1440"/>
        <w:rPr>
          <w:rFonts w:ascii="Times New Roman" w:hAnsi="Times New Roman" w:cs="Times New Roman"/>
          <w:b/>
          <w:sz w:val="24"/>
        </w:rPr>
      </w:pPr>
      <w:r>
        <w:rPr>
          <w:rFonts w:cs="Times New Roman" w:ascii="Times New Roman" w:hAnsi="Times New Roman"/>
          <w:b/>
          <w:sz w:val="24"/>
        </w:rPr>
        <w:t>a.</w:t>
        <w:tab/>
        <w:t xml:space="preserve">CalPX Markets.  </w:t>
      </w:r>
    </w:p>
    <w:p>
      <w:pPr>
        <w:pStyle w:val="FootnoteText"/>
        <w:numPr>
          <w:ilvl w:val="0"/>
          <w:numId w:val="15"/>
        </w:numPr>
        <w:tabs>
          <w:tab w:val="left" w:pos="720" w:leader="none"/>
        </w:tabs>
        <w:ind w:hanging="360" w:start="720" w:end="1440"/>
        <w:rPr>
          <w:rFonts w:ascii="Times New Roman" w:hAnsi="Times New Roman" w:cs="Times New Roman"/>
          <w:sz w:val="24"/>
        </w:rPr>
      </w:pPr>
      <w:r>
        <w:rPr>
          <w:rFonts w:cs="Times New Roman" w:ascii="Times New Roman" w:hAnsi="Times New Roman"/>
          <w:sz w:val="24"/>
        </w:rPr>
        <w:t xml:space="preserve">EPMI may purchase Energy from SSC for resale into the CalPX Day-Ahead Energy Market and the CalPX Day-Of Energy Market.  </w:t>
      </w:r>
    </w:p>
    <w:p>
      <w:pPr>
        <w:pStyle w:val="FootnoteText"/>
        <w:numPr>
          <w:ilvl w:val="0"/>
          <w:numId w:val="4"/>
        </w:numPr>
        <w:tabs>
          <w:tab w:val="left" w:pos="720" w:leader="none"/>
        </w:tabs>
        <w:ind w:hanging="360" w:start="720" w:end="1440"/>
        <w:rPr>
          <w:rFonts w:ascii="Times New Roman" w:hAnsi="Times New Roman" w:cs="Times New Roman"/>
          <w:sz w:val="24"/>
        </w:rPr>
      </w:pPr>
      <w:r>
        <w:rPr>
          <w:rFonts w:cs="Times New Roman" w:ascii="Times New Roman" w:hAnsi="Times New Roman"/>
          <w:sz w:val="24"/>
        </w:rPr>
        <w:t xml:space="preserve">EPMI may purchase Energy from CalPX in the CalPX Day-Ahead and/or Day-Of Energy Markets for resale to SSC.  </w:t>
      </w:r>
    </w:p>
    <w:p>
      <w:pPr>
        <w:pStyle w:val="FootnoteText"/>
        <w:ind w:start="1440" w:end="1440"/>
        <w:rPr>
          <w:rFonts w:ascii="Times New Roman" w:hAnsi="Times New Roman" w:cs="Times New Roman"/>
          <w:sz w:val="24"/>
        </w:rPr>
      </w:pPr>
      <w:r>
        <w:rPr>
          <w:rFonts w:cs="Times New Roman" w:ascii="Times New Roman" w:hAnsi="Times New Roman"/>
          <w:sz w:val="24"/>
        </w:rPr>
      </w:r>
    </w:p>
    <w:p>
      <w:pPr>
        <w:pStyle w:val="FootnoteText"/>
        <w:ind w:start="360" w:end="1440"/>
        <w:rPr>
          <w:rFonts w:ascii="Times New Roman" w:hAnsi="Times New Roman" w:cs="Times New Roman"/>
          <w:b/>
          <w:sz w:val="24"/>
        </w:rPr>
      </w:pPr>
      <w:r>
        <w:rPr>
          <w:rFonts w:cs="Times New Roman" w:ascii="Times New Roman" w:hAnsi="Times New Roman"/>
          <w:b/>
          <w:sz w:val="24"/>
        </w:rPr>
        <w:t>b.</w:t>
        <w:tab/>
        <w:t xml:space="preserve">CAISO Markets.  </w:t>
      </w:r>
    </w:p>
    <w:p>
      <w:pPr>
        <w:pStyle w:val="FootnoteText"/>
        <w:numPr>
          <w:ilvl w:val="0"/>
          <w:numId w:val="12"/>
        </w:numPr>
        <w:tabs>
          <w:tab w:val="left" w:pos="720" w:leader="none"/>
        </w:tabs>
        <w:ind w:hanging="360" w:start="720" w:end="1440"/>
        <w:rPr>
          <w:rFonts w:ascii="Times New Roman" w:hAnsi="Times New Roman" w:cs="Times New Roman"/>
          <w:sz w:val="24"/>
        </w:rPr>
      </w:pPr>
      <w:r>
        <w:rPr>
          <w:rFonts w:cs="Times New Roman" w:ascii="Times New Roman" w:hAnsi="Times New Roman"/>
          <w:sz w:val="24"/>
        </w:rPr>
        <w:t xml:space="preserve">EPMI may purchase Energy from SSC for resale into the CAISO Hour Ahead Market. </w:t>
      </w:r>
    </w:p>
    <w:p>
      <w:pPr>
        <w:pStyle w:val="FootnoteText"/>
        <w:numPr>
          <w:ilvl w:val="0"/>
          <w:numId w:val="12"/>
        </w:numPr>
        <w:tabs>
          <w:tab w:val="left" w:pos="720" w:leader="none"/>
        </w:tabs>
        <w:ind w:hanging="360" w:start="720" w:end="1440"/>
        <w:rPr>
          <w:rFonts w:ascii="Times New Roman" w:hAnsi="Times New Roman" w:cs="Times New Roman"/>
          <w:sz w:val="24"/>
        </w:rPr>
      </w:pPr>
      <w:r>
        <w:rPr>
          <w:rFonts w:cs="Times New Roman" w:ascii="Times New Roman" w:hAnsi="Times New Roman"/>
          <w:sz w:val="24"/>
        </w:rPr>
        <w:t>EPMI may purchase Energy from the CAISO in the CAISO Day-Ahead and Hour-Ahead Ancillary Services Markets for resale to SSC.</w:t>
      </w:r>
    </w:p>
    <w:p>
      <w:pPr>
        <w:pStyle w:val="FootnoteText"/>
        <w:numPr>
          <w:ilvl w:val="0"/>
          <w:numId w:val="12"/>
        </w:numPr>
        <w:tabs>
          <w:tab w:val="left" w:pos="720" w:leader="none"/>
        </w:tabs>
        <w:ind w:hanging="360" w:start="720" w:end="1440"/>
        <w:rPr>
          <w:rFonts w:ascii="Times New Roman" w:hAnsi="Times New Roman" w:cs="Times New Roman"/>
          <w:sz w:val="24"/>
        </w:rPr>
      </w:pPr>
      <w:r>
        <w:rPr>
          <w:rFonts w:cs="Times New Roman" w:ascii="Times New Roman" w:hAnsi="Times New Roman"/>
          <w:sz w:val="24"/>
        </w:rPr>
        <w:t>EPMI may purchase Energy and Capacity from SSC for resale in the CAISO Day-Ahead and Hour-Ahead Ancillary Services Markets.</w:t>
      </w:r>
    </w:p>
    <w:p>
      <w:pPr>
        <w:pStyle w:val="FootnoteText"/>
        <w:numPr>
          <w:ilvl w:val="0"/>
          <w:numId w:val="12"/>
        </w:numPr>
        <w:tabs>
          <w:tab w:val="left" w:pos="720" w:leader="none"/>
        </w:tabs>
        <w:ind w:hanging="360" w:start="720" w:end="1440"/>
        <w:rPr>
          <w:rFonts w:ascii="Times New Roman" w:hAnsi="Times New Roman" w:cs="Times New Roman"/>
          <w:sz w:val="24"/>
        </w:rPr>
      </w:pPr>
      <w:r>
        <w:rPr>
          <w:rFonts w:cs="Times New Roman" w:ascii="Times New Roman" w:hAnsi="Times New Roman"/>
          <w:sz w:val="24"/>
        </w:rPr>
        <w:t xml:space="preserve">EPMI may purchase Energy and Capacity from the CAISO Day-Ahead and Hour-Ahead Ancillary Services Markets for resale to SSC. </w:t>
      </w:r>
    </w:p>
    <w:p>
      <w:pPr>
        <w:pStyle w:val="FootnoteText"/>
        <w:ind w:start="1440" w:end="1440"/>
        <w:rPr>
          <w:rFonts w:ascii="Times New Roman" w:hAnsi="Times New Roman" w:cs="Times New Roman"/>
          <w:sz w:val="24"/>
        </w:rPr>
      </w:pPr>
      <w:r>
        <w:rPr>
          <w:rFonts w:cs="Times New Roman" w:ascii="Times New Roman" w:hAnsi="Times New Roman"/>
          <w:sz w:val="24"/>
        </w:rPr>
      </w:r>
    </w:p>
    <w:p>
      <w:pPr>
        <w:pStyle w:val="FootnoteText"/>
        <w:ind w:start="360" w:end="1440"/>
        <w:rPr>
          <w:rFonts w:ascii="Times New Roman" w:hAnsi="Times New Roman" w:cs="Times New Roman"/>
          <w:b/>
          <w:sz w:val="24"/>
        </w:rPr>
      </w:pPr>
      <w:r>
        <w:rPr>
          <w:rFonts w:cs="Times New Roman" w:ascii="Times New Roman" w:hAnsi="Times New Roman"/>
          <w:b/>
          <w:sz w:val="24"/>
        </w:rPr>
        <w:t>c.</w:t>
        <w:tab/>
        <w:t xml:space="preserve">Bilateral Market. </w:t>
      </w:r>
    </w:p>
    <w:p>
      <w:pPr>
        <w:pStyle w:val="FootnoteText"/>
        <w:numPr>
          <w:ilvl w:val="0"/>
          <w:numId w:val="3"/>
        </w:numPr>
        <w:tabs>
          <w:tab w:val="left" w:pos="720" w:leader="none"/>
        </w:tabs>
        <w:ind w:hanging="360" w:start="720" w:end="1440"/>
        <w:rPr>
          <w:rFonts w:ascii="Times New Roman" w:hAnsi="Times New Roman" w:cs="Times New Roman"/>
          <w:sz w:val="24"/>
        </w:rPr>
      </w:pPr>
      <w:r>
        <w:rPr>
          <w:rFonts w:cs="Times New Roman" w:ascii="Times New Roman" w:hAnsi="Times New Roman"/>
          <w:sz w:val="24"/>
        </w:rPr>
        <w:t xml:space="preserve">EPMI may purchase Energy from SSC for resale in the Bilateral Market.  </w:t>
      </w:r>
    </w:p>
    <w:p>
      <w:pPr>
        <w:pStyle w:val="FootnoteText"/>
        <w:numPr>
          <w:ilvl w:val="0"/>
          <w:numId w:val="3"/>
        </w:numPr>
        <w:tabs>
          <w:tab w:val="left" w:pos="720" w:leader="none"/>
        </w:tabs>
        <w:ind w:hanging="360" w:start="720" w:end="1440"/>
        <w:rPr>
          <w:rFonts w:ascii="Times New Roman" w:hAnsi="Times New Roman" w:cs="Times New Roman"/>
          <w:sz w:val="24"/>
        </w:rPr>
      </w:pPr>
      <w:r>
        <w:rPr>
          <w:rFonts w:cs="Times New Roman" w:ascii="Times New Roman" w:hAnsi="Times New Roman"/>
          <w:sz w:val="24"/>
        </w:rPr>
        <w:t xml:space="preserve">EPMI may purchase Energy from the Bilateral Market for resale to SSC.   </w:t>
      </w:r>
    </w:p>
    <w:p>
      <w:pPr>
        <w:pStyle w:val="Normal"/>
        <w:ind w:start="360" w:end="0"/>
        <w:rPr>
          <w:rFonts w:ascii="Times New Roman" w:hAnsi="Times New Roman" w:cs="Times New Roman"/>
          <w:sz w:val="24"/>
        </w:rPr>
      </w:pPr>
      <w:r>
        <w:rPr>
          <w:rFonts w:cs="Times New Roman" w:ascii="Times New Roman" w:hAnsi="Times New Roman"/>
          <w:sz w:val="24"/>
        </w:rPr>
      </w:r>
    </w:p>
    <w:p>
      <w:pPr>
        <w:pStyle w:val="Heading8"/>
        <w:numPr>
          <w:ilvl w:val="0"/>
          <w:numId w:val="19"/>
        </w:numPr>
        <w:rPr>
          <w:sz w:val="24"/>
        </w:rPr>
      </w:pPr>
      <w:r>
        <w:rPr>
          <w:sz w:val="24"/>
        </w:rPr>
        <w:t>Quantity:</w:t>
        <w:tab/>
      </w:r>
    </w:p>
    <w:p>
      <w:pPr>
        <w:pStyle w:val="Normal"/>
        <w:rPr>
          <w:rFonts w:ascii="Times New Roman" w:hAnsi="Times New Roman" w:cs="Times New Roman"/>
          <w:sz w:val="24"/>
        </w:rPr>
      </w:pPr>
      <w:r>
        <w:rPr>
          <w:rFonts w:cs="Times New Roman" w:ascii="Times New Roman" w:hAnsi="Times New Roman"/>
          <w:sz w:val="24"/>
        </w:rPr>
      </w:r>
    </w:p>
    <w:p>
      <w:pPr>
        <w:pStyle w:val="Normal"/>
        <w:numPr>
          <w:ilvl w:val="0"/>
          <w:numId w:val="9"/>
        </w:numPr>
        <w:tabs>
          <w:tab w:val="clear" w:pos="720"/>
          <w:tab w:val="left" w:pos="360" w:leader="none"/>
        </w:tabs>
        <w:rPr>
          <w:rFonts w:ascii="Times New Roman" w:hAnsi="Times New Roman" w:cs="Times New Roman"/>
          <w:sz w:val="24"/>
        </w:rPr>
      </w:pPr>
      <w:r>
        <w:rPr>
          <w:rFonts w:cs="Times New Roman" w:ascii="Times New Roman" w:hAnsi="Times New Roman"/>
          <w:sz w:val="24"/>
        </w:rPr>
        <w:t>SSC shall sell to EPMI 100% of the energy generated by SSC at its Vernon, CA power generation facility (California Independent System Operator (“CAISO”) Generator #R-ID=), if any, up to 30 MW (the “Maximum Quantity”).</w:t>
      </w:r>
    </w:p>
    <w:p>
      <w:pPr>
        <w:pStyle w:val="Normal"/>
        <w:tabs>
          <w:tab w:val="clear" w:pos="720"/>
          <w:tab w:val="left" w:pos="360" w:leader="none"/>
        </w:tabs>
        <w:rPr>
          <w:rFonts w:ascii="Times New Roman" w:hAnsi="Times New Roman" w:cs="Times New Roman"/>
          <w:sz w:val="24"/>
        </w:rPr>
      </w:pPr>
      <w:r>
        <w:rPr>
          <w:rFonts w:cs="Times New Roman" w:ascii="Times New Roman" w:hAnsi="Times New Roman"/>
          <w:sz w:val="24"/>
        </w:rPr>
      </w:r>
    </w:p>
    <w:p>
      <w:pPr>
        <w:pStyle w:val="Normal"/>
        <w:numPr>
          <w:ilvl w:val="0"/>
          <w:numId w:val="19"/>
        </w:numPr>
        <w:rPr>
          <w:rFonts w:ascii="Times New Roman" w:hAnsi="Times New Roman" w:cs="Times New Roman"/>
          <w:b/>
          <w:sz w:val="24"/>
        </w:rPr>
      </w:pPr>
      <w:r>
        <w:rPr>
          <w:rFonts w:cs="Times New Roman" w:ascii="Times New Roman" w:hAnsi="Times New Roman"/>
          <w:b/>
          <w:sz w:val="24"/>
        </w:rPr>
        <w:t>Price:</w:t>
      </w:r>
    </w:p>
    <w:p>
      <w:pPr>
        <w:pStyle w:val="Normal"/>
        <w:tabs>
          <w:tab w:val="clear" w:pos="720"/>
          <w:tab w:val="left" w:pos="360" w:leader="none"/>
        </w:tabs>
        <w:ind w:hanging="360" w:start="720" w:end="0"/>
        <w:rPr>
          <w:rFonts w:ascii="Times New Roman" w:hAnsi="Times New Roman" w:cs="Times New Roman"/>
          <w:sz w:val="24"/>
        </w:rPr>
      </w:pPr>
      <w:r>
        <w:rPr>
          <w:rFonts w:cs="Times New Roman" w:ascii="Times New Roman" w:hAnsi="Times New Roman"/>
          <w:sz w:val="24"/>
        </w:rPr>
        <w:t>a.</w:t>
        <w:tab/>
        <w:t>EPMI will assist SSC in identifying the markets for Energy and Capacity that will result in maximization of Profit to SSC.</w:t>
      </w:r>
    </w:p>
    <w:p>
      <w:pPr>
        <w:pStyle w:val="Normal"/>
        <w:numPr>
          <w:ilvl w:val="0"/>
          <w:numId w:val="9"/>
        </w:numPr>
        <w:rPr>
          <w:rFonts w:ascii="Times New Roman" w:hAnsi="Times New Roman" w:cs="Times New Roman"/>
          <w:sz w:val="24"/>
        </w:rPr>
      </w:pPr>
      <w:r>
        <w:rPr>
          <w:rFonts w:cs="Times New Roman" w:ascii="Times New Roman" w:hAnsi="Times New Roman"/>
          <w:sz w:val="24"/>
        </w:rPr>
        <w:t xml:space="preserve">By 6:00 PM each Day, of the day prior to the Scheduling Day or as otherwise agreed by the Parties, EPMI will verbally discuss with SSC the Daily Operational Plan.  The Daily Operational Plan outlines the markets, prices and bidding strategies that EPMI, in its Reasonable Opinion, plans to implement and believes will maximize Profit under this Agreement for the Energy Delivery Day(s). These markets are the CalPX, CAISO and the Bilateral Market.  SSC, in its sole discretion, shall determine whether it authorizes EPMI to implement the Daily Operational Plan.  </w:t>
      </w:r>
    </w:p>
    <w:p>
      <w:pPr>
        <w:pStyle w:val="Normal"/>
        <w:numPr>
          <w:ilvl w:val="0"/>
          <w:numId w:val="9"/>
        </w:numPr>
        <w:rPr>
          <w:rFonts w:ascii="Times New Roman" w:hAnsi="Times New Roman" w:cs="Times New Roman"/>
          <w:sz w:val="24"/>
        </w:rPr>
      </w:pPr>
      <w:r>
        <w:rPr>
          <w:rFonts w:cs="Times New Roman" w:ascii="Times New Roman" w:hAnsi="Times New Roman"/>
          <w:sz w:val="24"/>
        </w:rPr>
        <w:t xml:space="preserve">By 6:00 am of the Scheduling Day, defined as the day when scheduling needs to occur so that energy is scheduled on the energy delivery day, or such other time as reasonably required by EPMI to meet CAISO scheduling deadlines, SSC shall provide to EPMI a schedule in the form of Exhibit B, indicating the Daily Operational Plan for each hour of the energy delivery day.  EPMI has the right to change the deadline for submission of this schedule based upon a change in CAISO and/or PX deadlines. For energy sold into other markets such as the Supplemental Energy Market or the CalPX, EPMI and SSC shall cooperate to meet all scheduling deadlines.  The Parties understand that this discussion indicated in b. and c. above might take place less often than every Day.  </w:t>
      </w:r>
    </w:p>
    <w:p>
      <w:pPr>
        <w:pStyle w:val="Normal"/>
        <w:numPr>
          <w:ilvl w:val="0"/>
          <w:numId w:val="9"/>
        </w:numPr>
        <w:rPr>
          <w:rFonts w:ascii="Times New Roman" w:hAnsi="Times New Roman" w:cs="Times New Roman"/>
          <w:sz w:val="24"/>
        </w:rPr>
      </w:pPr>
      <w:r>
        <w:rPr>
          <w:rFonts w:cs="Times New Roman" w:ascii="Times New Roman" w:hAnsi="Times New Roman"/>
          <w:sz w:val="24"/>
        </w:rPr>
        <w:t>In the event that EPMI and SSC fail to communicate on any Day, it is understood that the default price shall be the IPO defined in g. below.</w:t>
      </w:r>
    </w:p>
    <w:p>
      <w:pPr>
        <w:pStyle w:val="Normal"/>
        <w:numPr>
          <w:ilvl w:val="0"/>
          <w:numId w:val="9"/>
        </w:numPr>
        <w:rPr>
          <w:rFonts w:ascii="Times New Roman" w:hAnsi="Times New Roman" w:cs="Times New Roman"/>
          <w:sz w:val="24"/>
        </w:rPr>
      </w:pPr>
      <w:r>
        <w:rPr>
          <w:rFonts w:cs="Times New Roman" w:ascii="Times New Roman" w:hAnsi="Times New Roman"/>
          <w:sz w:val="24"/>
        </w:rPr>
        <w:t>The Price for sales to the CalPX shall be the MCP, less $.50/MW.</w:t>
      </w:r>
    </w:p>
    <w:p>
      <w:pPr>
        <w:pStyle w:val="Normal"/>
        <w:numPr>
          <w:ilvl w:val="0"/>
          <w:numId w:val="9"/>
        </w:numPr>
        <w:rPr>
          <w:rFonts w:ascii="Times New Roman" w:hAnsi="Times New Roman" w:cs="Times New Roman"/>
          <w:sz w:val="24"/>
        </w:rPr>
      </w:pPr>
      <w:r>
        <w:rPr>
          <w:rFonts w:cs="Times New Roman" w:ascii="Times New Roman" w:hAnsi="Times New Roman"/>
          <w:sz w:val="24"/>
        </w:rPr>
        <w:t>The Price for sales to the CAISO shall be as follows:</w:t>
      </w:r>
    </w:p>
    <w:p>
      <w:pPr>
        <w:pStyle w:val="Normal"/>
        <w:numPr>
          <w:ilvl w:val="0"/>
          <w:numId w:val="11"/>
        </w:numPr>
        <w:rPr>
          <w:rFonts w:ascii="Times New Roman" w:hAnsi="Times New Roman" w:cs="Times New Roman"/>
          <w:sz w:val="24"/>
        </w:rPr>
      </w:pPr>
      <w:r>
        <w:rPr>
          <w:rFonts w:cs="Times New Roman" w:ascii="Times New Roman" w:hAnsi="Times New Roman"/>
          <w:sz w:val="24"/>
        </w:rPr>
        <w:t>EPMI buys Positive Uninstructed Quantity Deviations at the SSC Price, less $.50/MW.</w:t>
      </w:r>
    </w:p>
    <w:p>
      <w:pPr>
        <w:pStyle w:val="Normal"/>
        <w:numPr>
          <w:ilvl w:val="0"/>
          <w:numId w:val="11"/>
        </w:numPr>
        <w:rPr>
          <w:rFonts w:ascii="Times New Roman" w:hAnsi="Times New Roman" w:cs="Times New Roman"/>
          <w:sz w:val="24"/>
        </w:rPr>
      </w:pPr>
      <w:r>
        <w:rPr>
          <w:rFonts w:cs="Times New Roman" w:ascii="Times New Roman" w:hAnsi="Times New Roman"/>
          <w:sz w:val="24"/>
        </w:rPr>
        <w:t>EPMI sells Negative Uninstructed Quantity Deviations at the Inc Price, less $.50/MW.</w:t>
      </w:r>
    </w:p>
    <w:p>
      <w:pPr>
        <w:pStyle w:val="Normal"/>
        <w:numPr>
          <w:ilvl w:val="0"/>
          <w:numId w:val="11"/>
        </w:numPr>
        <w:rPr>
          <w:rFonts w:ascii="Times New Roman" w:hAnsi="Times New Roman" w:cs="Times New Roman"/>
          <w:sz w:val="24"/>
        </w:rPr>
      </w:pPr>
      <w:r>
        <w:rPr>
          <w:rFonts w:cs="Times New Roman" w:ascii="Times New Roman" w:hAnsi="Times New Roman"/>
          <w:sz w:val="24"/>
        </w:rPr>
        <w:t xml:space="preserve">EPMI buys Positive Instructed Quantity Deviations at a price equal to the Inc Price,  plus 50% of the positive difference, if any, between the Inc Price and the MCP. </w:t>
      </w:r>
    </w:p>
    <w:p>
      <w:pPr>
        <w:pStyle w:val="Normal"/>
        <w:numPr>
          <w:ilvl w:val="0"/>
          <w:numId w:val="11"/>
        </w:numPr>
        <w:rPr>
          <w:rFonts w:ascii="Times New Roman" w:hAnsi="Times New Roman" w:cs="Times New Roman"/>
          <w:sz w:val="24"/>
        </w:rPr>
      </w:pPr>
      <w:r>
        <w:rPr>
          <w:rFonts w:cs="Times New Roman" w:ascii="Times New Roman" w:hAnsi="Times New Roman"/>
          <w:sz w:val="24"/>
        </w:rPr>
        <w:t>EPMI sells Negative Instructed Quantity Deviations at a price equal to the SSC Price plus 50% of the positive difference, if any, between the MCP and the Dec Price.</w:t>
      </w:r>
    </w:p>
    <w:p>
      <w:pPr>
        <w:pStyle w:val="Normal"/>
        <w:numPr>
          <w:ilvl w:val="0"/>
          <w:numId w:val="9"/>
        </w:numPr>
        <w:rPr>
          <w:rFonts w:ascii="Times New Roman" w:hAnsi="Times New Roman" w:cs="Times New Roman"/>
          <w:sz w:val="24"/>
        </w:rPr>
      </w:pPr>
      <w:r>
        <w:rPr>
          <w:rFonts w:cs="Times New Roman" w:ascii="Times New Roman" w:hAnsi="Times New Roman"/>
          <w:sz w:val="24"/>
        </w:rPr>
        <w:t>The Price for sales and purchases in the Bilateral Market shall be as follows:</w:t>
      </w:r>
    </w:p>
    <w:p>
      <w:pPr>
        <w:pStyle w:val="Normal"/>
        <w:numPr>
          <w:ilvl w:val="0"/>
          <w:numId w:val="2"/>
        </w:numPr>
        <w:rPr>
          <w:rFonts w:ascii="Times New Roman" w:hAnsi="Times New Roman" w:cs="Times New Roman"/>
          <w:sz w:val="24"/>
        </w:rPr>
      </w:pPr>
      <w:r>
        <w:rPr>
          <w:rFonts w:cs="Times New Roman" w:ascii="Times New Roman" w:hAnsi="Times New Roman"/>
          <w:sz w:val="24"/>
        </w:rPr>
        <w:t>All prices established for Bilateral purchases and Sales shall be established on a mutually acceptable basis.</w:t>
      </w:r>
    </w:p>
    <w:p>
      <w:pPr>
        <w:pStyle w:val="Normal"/>
        <w:numPr>
          <w:ilvl w:val="0"/>
          <w:numId w:val="2"/>
        </w:numPr>
        <w:rPr>
          <w:rFonts w:ascii="Times New Roman" w:hAnsi="Times New Roman" w:cs="Times New Roman"/>
          <w:sz w:val="24"/>
        </w:rPr>
      </w:pPr>
      <w:r>
        <w:rPr>
          <w:rFonts w:cs="Times New Roman" w:ascii="Times New Roman" w:hAnsi="Times New Roman"/>
          <w:sz w:val="24"/>
        </w:rPr>
        <w:t>EPMI offers two pricing options for sales and purchases in the Bilateral Market, a Fixed Price Option and an Indexed Price Option.</w:t>
      </w:r>
    </w:p>
    <w:p>
      <w:pPr>
        <w:pStyle w:val="Normal"/>
        <w:numPr>
          <w:ilvl w:val="0"/>
          <w:numId w:val="2"/>
        </w:numPr>
        <w:rPr>
          <w:rFonts w:ascii="Times New Roman" w:hAnsi="Times New Roman" w:cs="Times New Roman"/>
          <w:sz w:val="24"/>
        </w:rPr>
      </w:pPr>
      <w:r>
        <w:rPr>
          <w:rFonts w:cs="Times New Roman" w:ascii="Times New Roman" w:hAnsi="Times New Roman"/>
          <w:sz w:val="24"/>
        </w:rPr>
        <w:t>Under the Fixed Price Option (“FPO”), EPMI will make available to SSC a Fixed Price for its energy or capacity.  The Fixed Price can be obtained by accessing EPMI’s website, EnronOnline, at www.enrononline.com.  EPMI will make EnronOnline available to SSC under a no-cost subscription.  Alternatively, SSC can obtain by telephone a Fixed Price through negotiation with EPMI.</w:t>
      </w:r>
    </w:p>
    <w:p>
      <w:pPr>
        <w:pStyle w:val="Normal"/>
        <w:numPr>
          <w:ilvl w:val="0"/>
          <w:numId w:val="2"/>
        </w:numPr>
        <w:rPr>
          <w:rFonts w:ascii="Times New Roman" w:hAnsi="Times New Roman" w:cs="Times New Roman"/>
          <w:sz w:val="24"/>
        </w:rPr>
      </w:pPr>
      <w:r>
        <w:rPr>
          <w:rFonts w:cs="Times New Roman" w:ascii="Times New Roman" w:hAnsi="Times New Roman"/>
          <w:sz w:val="24"/>
        </w:rPr>
        <w:t xml:space="preserve">Under the Indexed Price Option (“IPO”), the price shall be the price posted by Dow Jones, Inc. in the </w:t>
      </w:r>
      <w:r>
        <w:rPr>
          <w:rFonts w:cs="Times New Roman" w:ascii="Times New Roman" w:hAnsi="Times New Roman"/>
          <w:sz w:val="24"/>
          <w:u w:val="single"/>
        </w:rPr>
        <w:t>Wall Street Journal</w:t>
      </w:r>
      <w:r>
        <w:rPr>
          <w:rFonts w:cs="Times New Roman" w:ascii="Times New Roman" w:hAnsi="Times New Roman"/>
          <w:sz w:val="24"/>
        </w:rPr>
        <w:t xml:space="preserve">, in the table titled DJ Electricity Price Indexes, for the SP-15 delivery point, less $5.00/MWhr.  The price for deliveries during Peak hours, defined as 0700 – 2200, for all Days except Sundays and NERC (National Electricity Reliability Council) Holidays, shall be the On Peak price.  The price for deliveries during Off Peak hours, defined as all hours other than Peak hours, shall be the Off Peak price.  </w:t>
      </w:r>
    </w:p>
    <w:p>
      <w:pPr>
        <w:pStyle w:val="Normal"/>
        <w:numPr>
          <w:ilvl w:val="0"/>
          <w:numId w:val="2"/>
        </w:numPr>
        <w:rPr>
          <w:rFonts w:ascii="Times New Roman" w:hAnsi="Times New Roman" w:cs="Times New Roman"/>
          <w:sz w:val="24"/>
        </w:rPr>
      </w:pPr>
      <w:r>
        <w:rPr>
          <w:rFonts w:cs="Times New Roman" w:ascii="Times New Roman" w:hAnsi="Times New Roman"/>
          <w:sz w:val="24"/>
        </w:rPr>
        <w:t>In the event that SSC experiences an outage after a Schedule has been submitted, SSC can contact EPMI to purchase the shortfall at a Fixed Price.</w:t>
      </w:r>
    </w:p>
    <w:p>
      <w:pPr>
        <w:pStyle w:val="Normal"/>
        <w:ind w:hanging="360" w:start="720" w:end="0"/>
        <w:rPr>
          <w:rFonts w:ascii="Times New Roman" w:hAnsi="Times New Roman" w:cs="Times New Roman"/>
          <w:sz w:val="24"/>
        </w:rPr>
      </w:pPr>
      <w:r>
        <w:rPr>
          <w:rFonts w:cs="Times New Roman" w:ascii="Times New Roman" w:hAnsi="Times New Roman"/>
          <w:sz w:val="24"/>
        </w:rPr>
        <w:t>h.</w:t>
        <w:tab/>
        <w:t>SSC expressly agrees that it is not dealing with EPMI as a financial or commodity trading advisor and acknowledges, agrees and accepts that EPMI has other customers with whom EPMI may make other recommendations which are different than and potentially in conflict with the recommendations it may make to SSC and SSC waives any conflict of interest claim against EPMI resulting from any recommendations EPMI may suggest from time to time.</w:t>
      </w:r>
    </w:p>
    <w:p>
      <w:pPr>
        <w:pStyle w:val="Normal"/>
        <w:tabs>
          <w:tab w:val="clear" w:pos="720"/>
          <w:tab w:val="left" w:pos="36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360" w:leader="none"/>
          <w:tab w:val="left" w:pos="1440" w:leader="none"/>
        </w:tabs>
        <w:ind w:hanging="1800" w:start="1800" w:end="0"/>
        <w:jc w:val="both"/>
        <w:rPr/>
      </w:pPr>
      <w:r>
        <w:rPr>
          <w:b/>
        </w:rPr>
        <w:t>8.</w:t>
        <w:tab/>
      </w:r>
      <w:r>
        <w:rPr>
          <w:rFonts w:cs="Times New Roman" w:ascii="Times New Roman" w:hAnsi="Times New Roman"/>
          <w:b/>
          <w:sz w:val="24"/>
        </w:rPr>
        <w:t>Settlements:</w:t>
      </w:r>
      <w:r>
        <w:rPr>
          <w:rFonts w:cs="Times New Roman" w:ascii="Times New Roman" w:hAnsi="Times New Roman"/>
          <w:sz w:val="24"/>
        </w:rPr>
        <w:tab/>
      </w:r>
    </w:p>
    <w:p>
      <w:pPr>
        <w:pStyle w:val="Normal"/>
        <w:tabs>
          <w:tab w:val="clear" w:pos="720"/>
          <w:tab w:val="left" w:pos="1440" w:leader="none"/>
        </w:tabs>
        <w:ind w:hanging="360"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6"/>
        </w:numPr>
        <w:rPr>
          <w:rFonts w:ascii="Times New Roman" w:hAnsi="Times New Roman" w:cs="Times New Roman"/>
          <w:sz w:val="24"/>
        </w:rPr>
      </w:pPr>
      <w:r>
        <w:rPr>
          <w:rFonts w:cs="Times New Roman" w:ascii="Times New Roman" w:hAnsi="Times New Roman"/>
          <w:sz w:val="24"/>
        </w:rPr>
        <w:t xml:space="preserve">EPMI shall maintain an hourly price and volume model in the form of Exhibit A, indicating the estimated amount owed SSC for energy delivered during the delivery month.  Such spreadsheet shall be made available to SSC not less than once a week.  </w:t>
      </w:r>
    </w:p>
    <w:p>
      <w:pPr>
        <w:pStyle w:val="Normal"/>
        <w:numPr>
          <w:ilvl w:val="0"/>
          <w:numId w:val="6"/>
        </w:numPr>
        <w:rPr>
          <w:rFonts w:ascii="Times New Roman" w:hAnsi="Times New Roman" w:cs="Times New Roman"/>
          <w:sz w:val="24"/>
        </w:rPr>
      </w:pPr>
      <w:r>
        <w:rPr>
          <w:rFonts w:cs="Times New Roman" w:ascii="Times New Roman" w:hAnsi="Times New Roman"/>
          <w:sz w:val="24"/>
        </w:rPr>
        <w:t>Such spreadsheet will distinguish between the energy sold to EPMI at (i) the FP and (ii) the MCP (collectively, (i) and (ii) the “Day Ahead Energy Amount”) and at (x) the Ex Post Price, (y) as A/S, or (z) other CAISO markets (collectively, (x), (y) and (z) the “ISO amount”).</w:t>
      </w:r>
    </w:p>
    <w:p>
      <w:pPr>
        <w:pStyle w:val="Normal"/>
        <w:numPr>
          <w:ilvl w:val="0"/>
          <w:numId w:val="6"/>
        </w:numPr>
        <w:rPr>
          <w:rFonts w:ascii="Times New Roman" w:hAnsi="Times New Roman" w:cs="Times New Roman"/>
          <w:sz w:val="24"/>
        </w:rPr>
      </w:pPr>
      <w:r>
        <w:rPr>
          <w:rFonts w:cs="Times New Roman" w:ascii="Times New Roman" w:hAnsi="Times New Roman"/>
          <w:sz w:val="24"/>
        </w:rPr>
        <w:t xml:space="preserve">For any Energy or Capacity purchased from or sold to the CalPX or CAISO by EPMI, EPMI shall settle with SSC within ten (10) days of receipt of either an invoice or funds by EPMI from either the CalPX or CAISO.  </w:t>
      </w:r>
    </w:p>
    <w:p>
      <w:pPr>
        <w:pStyle w:val="Normal"/>
        <w:numPr>
          <w:ilvl w:val="0"/>
          <w:numId w:val="6"/>
        </w:numPr>
        <w:rPr>
          <w:rFonts w:ascii="Times New Roman" w:hAnsi="Times New Roman" w:cs="Times New Roman"/>
          <w:sz w:val="24"/>
        </w:rPr>
      </w:pPr>
      <w:r>
        <w:rPr>
          <w:rFonts w:cs="Times New Roman" w:ascii="Times New Roman" w:hAnsi="Times New Roman"/>
          <w:sz w:val="24"/>
        </w:rPr>
        <w:t>For any energy or capacity purchased from or sold to the Bilateral Market by EPMI, the Party owing the other Party any payment shall pay it by the 25</w:t>
      </w:r>
      <w:r>
        <w:rPr>
          <w:rFonts w:cs="Times New Roman" w:ascii="Times New Roman" w:hAnsi="Times New Roman"/>
          <w:sz w:val="24"/>
          <w:vertAlign w:val="superscript"/>
        </w:rPr>
        <w:t>th</w:t>
      </w:r>
      <w:r>
        <w:rPr>
          <w:rFonts w:cs="Times New Roman" w:ascii="Times New Roman" w:hAnsi="Times New Roman"/>
          <w:sz w:val="24"/>
        </w:rPr>
        <w:t xml:space="preserve"> day of the month following the month in which the Bilateral Market transaction occurred.  </w:t>
      </w:r>
    </w:p>
    <w:p>
      <w:pPr>
        <w:pStyle w:val="Normal"/>
        <w:numPr>
          <w:ilvl w:val="0"/>
          <w:numId w:val="6"/>
        </w:numPr>
        <w:rPr>
          <w:rFonts w:ascii="Times New Roman" w:hAnsi="Times New Roman" w:cs="Times New Roman"/>
          <w:sz w:val="24"/>
        </w:rPr>
      </w:pPr>
      <w:r>
        <w:rPr>
          <w:rFonts w:cs="Times New Roman" w:ascii="Times New Roman" w:hAnsi="Times New Roman"/>
          <w:sz w:val="24"/>
        </w:rPr>
        <w:t>EPMI and SSC understand that any prior period adjustments made by the CalPX or CAISO, including, but not limited to credit defaults by other market participants, refunds, or recalculation of the CalPX MCP, that are associated with SSC’s sales or purchases in the CalPX or CAISO markets, shall be reflected in billing adjustments between EPMI and SSC.</w:t>
      </w:r>
    </w:p>
    <w:p>
      <w:pPr>
        <w:pStyle w:val="Normal"/>
        <w:numPr>
          <w:ilvl w:val="0"/>
          <w:numId w:val="6"/>
        </w:numPr>
        <w:rPr>
          <w:rFonts w:ascii="Times New Roman" w:hAnsi="Times New Roman" w:cs="Times New Roman"/>
          <w:sz w:val="24"/>
        </w:rPr>
      </w:pPr>
      <w:r>
        <w:rPr>
          <w:rFonts w:cs="Times New Roman" w:ascii="Times New Roman" w:hAnsi="Times New Roman"/>
          <w:sz w:val="24"/>
        </w:rPr>
        <w:t xml:space="preserve">EPMI and SSC agree that all CAISO-imposed charges related to EPMI’s services as Scheduling Coordinator for SSC shall be passed through to SSC. </w:t>
      </w:r>
    </w:p>
    <w:p>
      <w:pPr>
        <w:pStyle w:val="Normal"/>
        <w:ind w:start="360" w:end="0"/>
        <w:rPr>
          <w:rFonts w:ascii="Times New Roman" w:hAnsi="Times New Roman" w:cs="Times New Roman"/>
          <w:sz w:val="24"/>
        </w:rPr>
      </w:pPr>
      <w:r>
        <w:rPr>
          <w:rFonts w:cs="Times New Roman" w:ascii="Times New Roman" w:hAnsi="Times New Roman"/>
          <w:sz w:val="24"/>
        </w:rPr>
      </w:r>
    </w:p>
    <w:p>
      <w:pPr>
        <w:pStyle w:val="BodyTextIndent2"/>
        <w:tabs>
          <w:tab w:val="clear" w:pos="720"/>
          <w:tab w:val="left" w:pos="360" w:leader="none"/>
        </w:tabs>
        <w:ind w:hanging="1440" w:end="0"/>
        <w:rPr>
          <w:b/>
        </w:rPr>
      </w:pPr>
      <w:r>
        <w:rPr>
          <w:b/>
        </w:rPr>
        <w:t>9.</w:t>
        <w:tab/>
        <w:t>Force Majeure:</w:t>
      </w:r>
    </w:p>
    <w:p>
      <w:pPr>
        <w:pStyle w:val="BodyTextIndent2"/>
        <w:ind w:hanging="1440" w:end="0"/>
        <w:rPr>
          <w:b/>
        </w:rPr>
      </w:pPr>
      <w:r>
        <w:rPr>
          <w:b/>
        </w:rPr>
      </w:r>
    </w:p>
    <w:p>
      <w:pPr>
        <w:pStyle w:val="Normal"/>
        <w:tabs>
          <w:tab w:val="clear" w:pos="720"/>
          <w:tab w:val="left" w:pos="1530" w:leader="none"/>
        </w:tabs>
        <w:ind w:hanging="360" w:start="720" w:end="0"/>
        <w:rPr>
          <w:rFonts w:ascii="Times New Roman" w:hAnsi="Times New Roman" w:cs="Times New Roman"/>
          <w:sz w:val="24"/>
        </w:rPr>
      </w:pPr>
      <w:r>
        <w:rPr>
          <w:rFonts w:cs="Times New Roman" w:ascii="Times New Roman" w:hAnsi="Times New Roman"/>
          <w:sz w:val="24"/>
        </w:rPr>
        <w:t>a.</w:t>
        <w:tab/>
        <w:t>If SSC has not scheduled Energy for delivery into the Day Ahead Market, or if no FP and FPQ have been established, and SSC experiences a plant outage for any reason, then SSC shall not be obligated to deliver or sell energy to EPMI during the period of the unit outage as there are no financial consequences of such a unit outage.  If SSC has scheduled Energy for delivery into the Day Ahead Market, or if a FP and FPQ have been established, and SSC experiences a unit outage, and such unit outage was caused by reasons other than Force Majeure, then the financial consequences of such unit outage shall be settled according to Price section above.  If SSC has scheduled Energy for delivery into the Day Ahead Market, or if a FP and FPQ have been established, and SSC experiences a unit outage, and SSC believes such unit outage resulted from an event of Force Majeure, then the financial consequences of such unit outage shall be settled according to b. below.</w:t>
      </w:r>
    </w:p>
    <w:p>
      <w:pPr>
        <w:pStyle w:val="Normal"/>
        <w:tabs>
          <w:tab w:val="left" w:pos="720" w:leader="none"/>
        </w:tabs>
        <w:ind w:hanging="360" w:start="720" w:end="0"/>
        <w:rPr>
          <w:rFonts w:ascii="Times New Roman" w:hAnsi="Times New Roman" w:cs="Times New Roman"/>
          <w:sz w:val="24"/>
        </w:rPr>
      </w:pPr>
      <w:r>
        <w:rPr>
          <w:rFonts w:cs="Times New Roman" w:ascii="Times New Roman" w:hAnsi="Times New Roman"/>
          <w:sz w:val="24"/>
        </w:rPr>
        <w:t>b.</w:t>
        <w:tab/>
        <w:t xml:space="preserve">If any Energy has been scheduled for delivery into the Day Ahead Market, and/or if a FP and FPQ have been set, then for such Quantities, EPMI and SSC shall each be entitled to claim Force Majeure in accordance with the CAISO Tariffs. In the event that EPMI or SSC believes they have experienced an event of Force Majeure, the Parties shall cooperate to make a Force Majeure claim to the CAISO.  If such Force Majeure claim is granted so that the obligations of the Parties are suspended and neither Party is financially effected, then there shall be no price settlement in accordance with the Price section herein.  If the CAISO does not grant the claim of Force Majeure, then for such Quantities, if there is a replacement source of Energy available, such as the ability to buy power from the CalPX or others in the Day Ahead Market or from the CAISO, anywhere at the Delivery Point at any price, neither Party may claim Force Majeure for any reason and the Parties agree to settle the replacement price against the Contract Price by using the ExPost Price, the CAPX Index Price, or such other price as they may agree to. </w:t>
      </w:r>
    </w:p>
    <w:p>
      <w:pPr>
        <w:pStyle w:val="BodyTextIndent2"/>
        <w:ind w:start="720" w:end="0"/>
        <w:rPr>
          <w:rFonts w:ascii="Times New Roman" w:hAnsi="Times New Roman" w:cs="Times New Roman"/>
          <w:sz w:val="24"/>
        </w:rPr>
      </w:pPr>
      <w:r>
        <w:rPr>
          <w:rFonts w:cs="Times New Roman"/>
          <w:sz w:val="24"/>
        </w:rPr>
      </w:r>
    </w:p>
    <w:p>
      <w:pPr>
        <w:pStyle w:val="Normal"/>
        <w:tabs>
          <w:tab w:val="clear" w:pos="720"/>
          <w:tab w:val="left" w:pos="360" w:leader="none"/>
        </w:tabs>
        <w:ind w:hanging="1440" w:start="1440" w:end="0"/>
        <w:rPr>
          <w:rFonts w:ascii="Times New Roman" w:hAnsi="Times New Roman" w:cs="Times New Roman"/>
          <w:b/>
          <w:sz w:val="24"/>
        </w:rPr>
      </w:pPr>
      <w:r>
        <w:rPr>
          <w:rFonts w:cs="Times New Roman" w:ascii="Times New Roman" w:hAnsi="Times New Roman"/>
          <w:b/>
          <w:sz w:val="24"/>
        </w:rPr>
        <w:t>9.</w:t>
        <w:tab/>
        <w:t>Other:</w:t>
      </w:r>
    </w:p>
    <w:p>
      <w:pPr>
        <w:pStyle w:val="Normal"/>
        <w:tabs>
          <w:tab w:val="left" w:pos="720" w:leader="none"/>
          <w:tab w:val="left" w:pos="1080" w:leader="none"/>
        </w:tabs>
        <w:ind w:hanging="1080" w:start="1080" w:end="0"/>
        <w:jc w:val="both"/>
        <w:rPr>
          <w:rFonts w:ascii="Times New Roman" w:hAnsi="Times New Roman" w:cs="Times New Roman"/>
          <w:b/>
          <w:sz w:val="24"/>
        </w:rPr>
      </w:pPr>
      <w:r>
        <w:rPr>
          <w:rFonts w:cs="Times New Roman" w:ascii="Times New Roman" w:hAnsi="Times New Roman"/>
          <w:b/>
          <w:sz w:val="24"/>
        </w:rPr>
      </w:r>
    </w:p>
    <w:p>
      <w:pPr>
        <w:pStyle w:val="Normal"/>
        <w:ind w:hanging="360" w:start="720" w:end="0"/>
        <w:jc w:val="both"/>
        <w:rPr>
          <w:rFonts w:ascii="Times New Roman" w:hAnsi="Times New Roman" w:cs="Times New Roman"/>
          <w:sz w:val="24"/>
        </w:rPr>
      </w:pPr>
      <w:r>
        <w:rPr>
          <w:rFonts w:cs="Times New Roman" w:ascii="Times New Roman" w:hAnsi="Times New Roman"/>
          <w:sz w:val="24"/>
        </w:rPr>
        <w:t>a.</w:t>
        <w:tab/>
        <w:t xml:space="preserve">Nothing in the transactions documented by this Confirmation Letter creates any partnership, joint-venture relationship or any fiduciary duties owed by either party to the other party. </w:t>
      </w:r>
    </w:p>
    <w:p>
      <w:pPr>
        <w:pStyle w:val="Normal"/>
        <w:ind w:hanging="360" w:start="720" w:end="0"/>
        <w:rPr>
          <w:rFonts w:ascii="Times New Roman" w:hAnsi="Times New Roman" w:cs="Times New Roman"/>
          <w:sz w:val="24"/>
        </w:rPr>
      </w:pPr>
      <w:r>
        <w:rPr>
          <w:rFonts w:cs="Times New Roman" w:ascii="Times New Roman" w:hAnsi="Times New Roman"/>
          <w:sz w:val="24"/>
        </w:rPr>
        <w:t>b.</w:t>
        <w:tab/>
        <w:t>SSC agrees to indemnify and hold EPMI harmless from any reimbursement penalties and sanctions imposed by the CAISO upon EPMI as a result of a failure of the generation unit to pass an Ancillary Services Test administered pursuant to the CAISO Tariff, or arising from a breach by SSC of its Participating Generator Agreement with the CAISO.</w:t>
      </w:r>
    </w:p>
    <w:p>
      <w:pPr>
        <w:pStyle w:val="Normal"/>
        <w:ind w:hanging="360" w:start="720" w:end="0"/>
        <w:rPr>
          <w:rFonts w:ascii="Times New Roman" w:hAnsi="Times New Roman" w:cs="Times New Roman"/>
          <w:sz w:val="24"/>
        </w:rPr>
      </w:pPr>
      <w:r>
        <w:rPr>
          <w:rFonts w:cs="Times New Roman" w:ascii="Times New Roman" w:hAnsi="Times New Roman"/>
          <w:sz w:val="24"/>
        </w:rPr>
        <w:t>c.</w:t>
        <w:tab/>
        <w:t>If EPMI defaults in meeting its obligations hereunder, SSC shall take whatever commercially reasonable actions it deems appropriate under the circumstances to mitigate, and, subject to the limitation of damages to only actual damages pursuant to Section 5.1 of the Master Agreement, EPMI shall be liable to SSC up to but not exceeding the amount of money which is required to put SSC back in the same position SSC would have been in if the default had not occurred, including without limitation, any costs, penalties or charges assessed by the CalPX or CAISO against SSC due to EPMI’s default.</w:t>
      </w:r>
    </w:p>
    <w:p>
      <w:pPr>
        <w:pStyle w:val="Normal"/>
        <w:numPr>
          <w:ilvl w:val="0"/>
          <w:numId w:val="17"/>
        </w:numPr>
        <w:rPr>
          <w:rFonts w:ascii="Times New Roman" w:hAnsi="Times New Roman" w:cs="Times New Roman"/>
          <w:sz w:val="24"/>
        </w:rPr>
      </w:pPr>
      <w:r>
        <w:rPr>
          <w:rFonts w:cs="Times New Roman" w:ascii="Times New Roman" w:hAnsi="Times New Roman"/>
          <w:sz w:val="24"/>
        </w:rPr>
        <w:t>If SSC defaults in meeting its obligations hereunder, EPMI shall take whatever commercially reasonable actions it deems appropriate under the circumstances to mitigate, and, subject to the limitation of damages to only actual damages pursuant to Section 5.1 of the Master Agreement and subject to the limitations of Paragraph 9, Damage Limitation, herein, SSC shall be liable to EPMI up to but not exceeding the amount of money which is required to put EPMI back in the same position EPMI  would have been in if the default had not occurred, including without limitation, any costs, penalties or charges assessed by the CalPX or CAISO against EPMI due to SSC’s default.</w:t>
      </w:r>
    </w:p>
    <w:p>
      <w:pPr>
        <w:pStyle w:val="Normal"/>
        <w:numPr>
          <w:ilvl w:val="0"/>
          <w:numId w:val="17"/>
        </w:numPr>
        <w:rPr>
          <w:rFonts w:ascii="Times New Roman" w:hAnsi="Times New Roman" w:cs="Times New Roman"/>
          <w:sz w:val="24"/>
        </w:rPr>
      </w:pPr>
      <w:r>
        <w:rPr>
          <w:rFonts w:cs="Times New Roman" w:ascii="Times New Roman" w:hAnsi="Times New Roman"/>
          <w:sz w:val="24"/>
        </w:rPr>
        <w:t>EPMI has an Internet based information system (now being referred to as Enron West PowerSource).  This homepage provides energy-related data to preferred EPMI clients.  Such information will include SSC settlement data, historical and real time gas and electricity prices, weather data, hydro levels, energy news, EPMI products and services and a variety of other things that might be helpful to SSC to efficiently manage its business. As part of the transaction envisioned herein, EPMI will make this system available to SSC.</w:t>
      </w:r>
    </w:p>
    <w:p>
      <w:pPr>
        <w:pStyle w:val="Normal"/>
        <w:tabs>
          <w:tab w:val="left" w:pos="720" w:leader="none"/>
        </w:tabs>
        <w:ind w:hanging="360" w:start="720" w:end="0"/>
        <w:rPr>
          <w:rFonts w:ascii="Times New Roman" w:hAnsi="Times New Roman" w:cs="Times New Roman"/>
          <w:sz w:val="24"/>
        </w:rPr>
      </w:pPr>
      <w:r>
        <w:rPr>
          <w:rFonts w:cs="Times New Roman" w:ascii="Times New Roman" w:hAnsi="Times New Roman"/>
          <w:sz w:val="24"/>
        </w:rPr>
      </w:r>
    </w:p>
    <w:p>
      <w:pPr>
        <w:pStyle w:val="Normal"/>
        <w:tabs>
          <w:tab w:val="clear" w:pos="720"/>
          <w:tab w:val="left" w:pos="360" w:leader="none"/>
        </w:tabs>
        <w:rPr>
          <w:rFonts w:ascii="Times New Roman" w:hAnsi="Times New Roman" w:cs="Times New Roman"/>
          <w:sz w:val="24"/>
        </w:rPr>
      </w:pPr>
      <w:r>
        <w:rPr>
          <w:rFonts w:cs="Times New Roman" w:ascii="Times New Roman" w:hAnsi="Times New Roman"/>
          <w:b/>
          <w:sz w:val="24"/>
        </w:rPr>
        <w:t>10.</w:t>
        <w:tab/>
        <w:tab/>
        <w:t>Priority</w:t>
      </w:r>
    </w:p>
    <w:p>
      <w:pPr>
        <w:pStyle w:val="Normal"/>
        <w:tabs>
          <w:tab w:val="left" w:pos="72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start="720" w:end="0"/>
        <w:rPr>
          <w:rFonts w:ascii="Times New Roman" w:hAnsi="Times New Roman" w:cs="Times New Roman"/>
          <w:sz w:val="24"/>
        </w:rPr>
      </w:pPr>
      <w:r>
        <w:rPr>
          <w:rFonts w:cs="Times New Roman" w:ascii="Times New Roman" w:hAnsi="Times New Roman"/>
          <w:sz w:val="24"/>
        </w:rPr>
        <w:t>In the event of any conflicts or inconsistencies between this Confirmation Letter and the Master Agreement, including but not limited to the calculation of damages, limitation of damages and remedies, the Confirmation Letter shall supersede and prevail over the Master Agreement.</w:t>
      </w:r>
    </w:p>
    <w:p>
      <w:pPr>
        <w:pStyle w:val="Normal"/>
        <w:tabs>
          <w:tab w:val="clear" w:pos="720"/>
          <w:tab w:val="left" w:pos="1440" w:leader="none"/>
        </w:tabs>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t>EPMI Contact Persons:</w:t>
      </w:r>
    </w:p>
    <w:p>
      <w:pPr>
        <w:pStyle w:val="Normal"/>
        <w:rPr>
          <w:rFonts w:ascii="Times New Roman" w:hAnsi="Times New Roman" w:cs="Times New Roman"/>
          <w:b/>
          <w:sz w:val="24"/>
        </w:rPr>
      </w:pPr>
      <w:r>
        <w:rPr>
          <w:rFonts w:cs="Times New Roman" w:ascii="Times New Roman" w:hAnsi="Times New Roman"/>
          <w:b/>
          <w:sz w:val="24"/>
        </w:rPr>
      </w:r>
    </w:p>
    <w:p>
      <w:pPr>
        <w:pStyle w:val="BodyText3"/>
        <w:jc w:val="start"/>
        <w:rPr/>
      </w:pPr>
      <w:r>
        <w:rPr/>
        <w:t>EPMI shall contact SSC upon forty</w:t>
        <w:noBreakHyphen/>
        <w:t xml:space="preserve">eight (48) hours advance written notice to SSC of any changes in the  below noted contact person. </w:t>
      </w:r>
    </w:p>
    <w:p>
      <w:pPr>
        <w:pStyle w:val="Normal"/>
        <w:rPr>
          <w:rFonts w:ascii="Times New Roman" w:hAnsi="Times New Roman" w:cs="Times New Roman"/>
          <w:sz w:val="24"/>
        </w:rPr>
      </w:pPr>
      <w:r>
        <w:rPr>
          <w:rFonts w:cs="Times New Roman" w:ascii="Times New Roman" w:hAnsi="Times New Roman"/>
          <w:sz w:val="24"/>
        </w:rPr>
      </w:r>
    </w:p>
    <w:p>
      <w:pPr>
        <w:pStyle w:val="Normal"/>
        <w:numPr>
          <w:ilvl w:val="0"/>
          <w:numId w:val="8"/>
        </w:numPr>
        <w:tabs>
          <w:tab w:val="clear" w:pos="720"/>
          <w:tab w:val="left" w:pos="360" w:leader="none"/>
          <w:tab w:val="left" w:pos="1800" w:leader="none"/>
          <w:tab w:val="left" w:pos="3600" w:leader="none"/>
        </w:tabs>
        <w:rPr>
          <w:rFonts w:ascii="Times New Roman" w:hAnsi="Times New Roman" w:cs="Times New Roman"/>
          <w:sz w:val="24"/>
        </w:rPr>
      </w:pPr>
      <w:r>
        <w:rPr>
          <w:rFonts w:cs="Times New Roman" w:ascii="Times New Roman" w:hAnsi="Times New Roman"/>
          <w:sz w:val="24"/>
        </w:rPr>
        <w:t>Scheduling Issues - CA Scheduling Team</w:t>
      </w:r>
    </w:p>
    <w:p>
      <w:pPr>
        <w:pStyle w:val="Normal"/>
        <w:tabs>
          <w:tab w:val="left" w:pos="360" w:leader="none"/>
          <w:tab w:val="left" w:pos="720" w:leader="none"/>
          <w:tab w:val="left" w:pos="1800" w:leader="none"/>
          <w:tab w:val="left" w:pos="3600" w:leader="none"/>
        </w:tabs>
        <w:ind w:start="360" w:end="0"/>
        <w:rPr>
          <w:rFonts w:ascii="Times New Roman" w:hAnsi="Times New Roman" w:cs="Times New Roman"/>
          <w:sz w:val="24"/>
        </w:rPr>
      </w:pPr>
      <w:r>
        <w:rPr>
          <w:rFonts w:cs="Times New Roman" w:ascii="Times New Roman" w:hAnsi="Times New Roman"/>
          <w:sz w:val="24"/>
        </w:rPr>
      </w:r>
    </w:p>
    <w:p>
      <w:pPr>
        <w:pStyle w:val="Normal"/>
        <w:tabs>
          <w:tab w:val="left" w:pos="360" w:leader="none"/>
          <w:tab w:val="left" w:pos="720" w:leader="none"/>
          <w:tab w:val="left" w:pos="1800" w:leader="none"/>
          <w:tab w:val="left" w:pos="3600" w:leader="none"/>
        </w:tabs>
        <w:rPr>
          <w:rFonts w:ascii="Times New Roman" w:hAnsi="Times New Roman" w:cs="Times New Roman"/>
          <w:sz w:val="24"/>
        </w:rPr>
      </w:pPr>
      <w:r>
        <w:rPr>
          <w:rFonts w:cs="Times New Roman" w:ascii="Times New Roman" w:hAnsi="Times New Roman"/>
          <w:sz w:val="24"/>
        </w:rPr>
        <w:tab/>
        <w:tab/>
        <w:t>Enron North America Corp.</w:t>
      </w:r>
    </w:p>
    <w:p>
      <w:pPr>
        <w:pStyle w:val="Normal"/>
        <w:tabs>
          <w:tab w:val="left" w:pos="360" w:leader="none"/>
          <w:tab w:val="left" w:pos="720" w:leader="none"/>
          <w:tab w:val="left" w:pos="1800" w:leader="none"/>
          <w:tab w:val="left" w:pos="3600" w:leader="none"/>
        </w:tabs>
        <w:rPr>
          <w:rFonts w:ascii="Times New Roman" w:hAnsi="Times New Roman" w:cs="Times New Roman"/>
          <w:sz w:val="24"/>
        </w:rPr>
      </w:pPr>
      <w:r>
        <w:rPr>
          <w:rFonts w:cs="Times New Roman" w:ascii="Times New Roman" w:hAnsi="Times New Roman"/>
          <w:sz w:val="24"/>
        </w:rPr>
        <w:tab/>
        <w:tab/>
        <w:t>121 SW Salmon Street, 3WTC0306</w:t>
      </w:r>
    </w:p>
    <w:p>
      <w:pPr>
        <w:pStyle w:val="Normal"/>
        <w:tabs>
          <w:tab w:val="left" w:pos="360" w:leader="none"/>
          <w:tab w:val="left" w:pos="720" w:leader="none"/>
          <w:tab w:val="left" w:pos="1800" w:leader="none"/>
          <w:tab w:val="left" w:pos="3600" w:leader="none"/>
        </w:tabs>
        <w:rPr>
          <w:rFonts w:ascii="Times New Roman" w:hAnsi="Times New Roman" w:cs="Times New Roman"/>
          <w:sz w:val="24"/>
        </w:rPr>
      </w:pPr>
      <w:r>
        <w:rPr>
          <w:rFonts w:cs="Times New Roman" w:ascii="Times New Roman" w:hAnsi="Times New Roman"/>
          <w:sz w:val="24"/>
        </w:rPr>
        <w:tab/>
        <w:tab/>
        <w:t>Portland, Oregon  97204</w:t>
      </w:r>
    </w:p>
    <w:p>
      <w:pPr>
        <w:pStyle w:val="Normal"/>
        <w:tabs>
          <w:tab w:val="left" w:pos="360" w:leader="none"/>
          <w:tab w:val="left" w:pos="720" w:leader="none"/>
          <w:tab w:val="left" w:pos="1080" w:leader="none"/>
          <w:tab w:val="left" w:pos="3600" w:leader="none"/>
        </w:tabs>
        <w:rPr>
          <w:rFonts w:ascii="Times New Roman" w:hAnsi="Times New Roman" w:cs="Times New Roman"/>
          <w:sz w:val="24"/>
        </w:rPr>
      </w:pPr>
      <w:r>
        <w:rPr>
          <w:rFonts w:cs="Times New Roman" w:ascii="Times New Roman" w:hAnsi="Times New Roman"/>
          <w:sz w:val="24"/>
        </w:rPr>
        <w:tab/>
        <w:tab/>
        <w:t>a.</w:t>
        <w:tab/>
        <w:t>During Normal Business Hours:</w:t>
      </w:r>
    </w:p>
    <w:p>
      <w:pPr>
        <w:pStyle w:val="Normal"/>
        <w:tabs>
          <w:tab w:val="clear" w:pos="720"/>
          <w:tab w:val="left" w:pos="1080" w:leader="none"/>
          <w:tab w:val="left" w:pos="2880" w:leader="none"/>
          <w:tab w:val="left" w:pos="3330" w:leader="none"/>
        </w:tabs>
        <w:rPr>
          <w:rFonts w:ascii="Times New Roman" w:hAnsi="Times New Roman" w:cs="Times New Roman"/>
          <w:sz w:val="24"/>
        </w:rPr>
      </w:pPr>
      <w:r>
        <w:rPr>
          <w:rFonts w:cs="Times New Roman" w:ascii="Times New Roman" w:hAnsi="Times New Roman"/>
          <w:sz w:val="24"/>
        </w:rPr>
        <w:tab/>
        <w:t>Jeff Richter:</w:t>
        <w:tab/>
        <w:t>Tel:  503/464-3917</w:t>
      </w:r>
    </w:p>
    <w:p>
      <w:pPr>
        <w:pStyle w:val="Normal"/>
        <w:tabs>
          <w:tab w:val="clear" w:pos="720"/>
          <w:tab w:val="left" w:pos="1080" w:leader="none"/>
          <w:tab w:val="left" w:pos="2880" w:leader="none"/>
          <w:tab w:val="left" w:pos="3330" w:leader="none"/>
        </w:tabs>
        <w:rPr>
          <w:rFonts w:ascii="Times New Roman" w:hAnsi="Times New Roman" w:cs="Times New Roman"/>
          <w:sz w:val="24"/>
        </w:rPr>
      </w:pPr>
      <w:r>
        <w:rPr>
          <w:rFonts w:cs="Times New Roman" w:ascii="Times New Roman" w:hAnsi="Times New Roman"/>
          <w:sz w:val="24"/>
        </w:rPr>
        <w:tab/>
        <w:t>Phil Platter</w:t>
        <w:tab/>
        <w:t>Tel:  503/464-3934</w:t>
      </w:r>
    </w:p>
    <w:p>
      <w:pPr>
        <w:pStyle w:val="Normal"/>
        <w:tabs>
          <w:tab w:val="clear" w:pos="720"/>
          <w:tab w:val="left" w:pos="1080" w:leader="none"/>
        </w:tabs>
        <w:rPr>
          <w:rFonts w:ascii="Times New Roman" w:hAnsi="Times New Roman" w:cs="Times New Roman"/>
          <w:sz w:val="24"/>
        </w:rPr>
      </w:pPr>
      <w:r>
        <w:rPr>
          <w:rFonts w:cs="Times New Roman" w:ascii="Times New Roman" w:hAnsi="Times New Roman"/>
          <w:sz w:val="24"/>
        </w:rPr>
        <w:tab/>
        <w:t>Jeff Miller</w:t>
        <w:tab/>
        <w:tab/>
        <w:t>Tel:  503/464-3808</w:t>
      </w:r>
    </w:p>
    <w:p>
      <w:pPr>
        <w:pStyle w:val="Normal"/>
        <w:tabs>
          <w:tab w:val="clear" w:pos="720"/>
          <w:tab w:val="left" w:pos="1080" w:leader="none"/>
        </w:tabs>
        <w:rPr>
          <w:rFonts w:ascii="Times New Roman" w:hAnsi="Times New Roman" w:cs="Times New Roman"/>
          <w:sz w:val="24"/>
        </w:rPr>
      </w:pPr>
      <w:r>
        <w:rPr>
          <w:rFonts w:cs="Times New Roman" w:ascii="Times New Roman" w:hAnsi="Times New Roman"/>
          <w:sz w:val="24"/>
        </w:rPr>
        <w:tab/>
        <w:tab/>
        <w:tab/>
        <w:tab/>
        <w:t>Facsimile:  (503) 464-3740</w:t>
      </w:r>
    </w:p>
    <w:p>
      <w:pPr>
        <w:pStyle w:val="Normal"/>
        <w:numPr>
          <w:ilvl w:val="0"/>
          <w:numId w:val="18"/>
        </w:numPr>
        <w:tabs>
          <w:tab w:val="left" w:pos="720" w:leader="none"/>
        </w:tabs>
        <w:rPr>
          <w:rFonts w:ascii="Times New Roman" w:hAnsi="Times New Roman" w:cs="Times New Roman"/>
          <w:sz w:val="24"/>
        </w:rPr>
      </w:pPr>
      <w:r>
        <w:rPr>
          <w:rFonts w:cs="Times New Roman" w:ascii="Times New Roman" w:hAnsi="Times New Roman"/>
          <w:sz w:val="24"/>
        </w:rPr>
        <w:t>24-Hour Desk</w:t>
        <w:tab/>
        <w:t>Telephone:  (800) 684-1336</w:t>
      </w:r>
    </w:p>
    <w:p>
      <w:pPr>
        <w:pStyle w:val="Normal"/>
        <w:tabs>
          <w:tab w:val="left" w:pos="720" w:leader="none"/>
          <w:tab w:val="left" w:pos="1080" w:leader="none"/>
        </w:tabs>
        <w:ind w:start="720" w:end="0"/>
        <w:rPr>
          <w:rFonts w:ascii="Times New Roman" w:hAnsi="Times New Roman" w:cs="Times New Roman"/>
          <w:sz w:val="24"/>
        </w:rPr>
      </w:pPr>
      <w:r>
        <w:rPr>
          <w:rFonts w:cs="Times New Roman" w:ascii="Times New Roman" w:hAnsi="Times New Roman"/>
          <w:sz w:val="24"/>
        </w:rPr>
        <w:tab/>
      </w:r>
    </w:p>
    <w:p>
      <w:pPr>
        <w:pStyle w:val="Normal"/>
        <w:tabs>
          <w:tab w:val="clear" w:pos="720"/>
          <w:tab w:val="left" w:pos="1080" w:leader="none"/>
        </w:tabs>
        <w:rPr>
          <w:rFonts w:ascii="Times New Roman" w:hAnsi="Times New Roman" w:cs="Times New Roman"/>
          <w:sz w:val="24"/>
        </w:rPr>
      </w:pPr>
      <w:r>
        <w:rPr>
          <w:rFonts w:cs="Times New Roman" w:ascii="Times New Roman" w:hAnsi="Times New Roman"/>
          <w:sz w:val="24"/>
        </w:rPr>
        <w:tab/>
      </w:r>
    </w:p>
    <w:p>
      <w:pPr>
        <w:pStyle w:val="Normal"/>
        <w:tabs>
          <w:tab w:val="left" w:pos="720" w:leader="none"/>
        </w:tabs>
        <w:rPr>
          <w:rFonts w:ascii="Times New Roman" w:hAnsi="Times New Roman" w:cs="Times New Roman"/>
          <w:sz w:val="24"/>
        </w:rPr>
      </w:pPr>
      <w:r>
        <w:rPr>
          <w:rFonts w:cs="Times New Roman" w:ascii="Times New Roman" w:hAnsi="Times New Roman"/>
          <w:sz w:val="24"/>
        </w:rPr>
      </w:r>
      <w:r>
        <w:br w:type="page"/>
      </w:r>
    </w:p>
    <w:p>
      <w:pPr>
        <w:pStyle w:val="Normal"/>
        <w:numPr>
          <w:ilvl w:val="0"/>
          <w:numId w:val="13"/>
        </w:numPr>
        <w:rPr>
          <w:rFonts w:ascii="Times New Roman" w:hAnsi="Times New Roman" w:cs="Times New Roman"/>
          <w:sz w:val="24"/>
        </w:rPr>
      </w:pPr>
      <w:r>
        <w:rPr>
          <w:rFonts w:cs="Times New Roman" w:ascii="Times New Roman" w:hAnsi="Times New Roman"/>
          <w:sz w:val="24"/>
        </w:rPr>
        <w:t>Notices and Correspondence</w:t>
      </w:r>
    </w:p>
    <w:p>
      <w:pPr>
        <w:pStyle w:val="Normal"/>
        <w:ind w:start="360" w:end="0"/>
        <w:rPr>
          <w:rFonts w:ascii="Times New Roman" w:hAnsi="Times New Roman" w:cs="Times New Roman"/>
          <w:sz w:val="24"/>
        </w:rPr>
      </w:pPr>
      <w:r>
        <w:rPr>
          <w:rFonts w:cs="Times New Roman" w:ascii="Times New Roman" w:hAnsi="Times New Roman"/>
          <w:sz w:val="24"/>
        </w:rPr>
      </w:r>
    </w:p>
    <w:p>
      <w:pPr>
        <w:pStyle w:val="Normal"/>
        <w:ind w:start="720" w:end="0"/>
        <w:rPr>
          <w:rFonts w:ascii="Times New Roman" w:hAnsi="Times New Roman" w:cs="Times New Roman"/>
          <w:sz w:val="24"/>
        </w:rPr>
      </w:pPr>
      <w:r>
        <w:rPr>
          <w:rFonts w:cs="Times New Roman" w:ascii="Times New Roman" w:hAnsi="Times New Roman"/>
          <w:sz w:val="24"/>
        </w:rPr>
        <w:t>Chris Foster</w:t>
      </w:r>
    </w:p>
    <w:p>
      <w:pPr>
        <w:pStyle w:val="Normal"/>
        <w:ind w:start="720" w:end="0"/>
        <w:rPr>
          <w:rFonts w:ascii="Times New Roman" w:hAnsi="Times New Roman" w:cs="Times New Roman"/>
          <w:sz w:val="24"/>
        </w:rPr>
      </w:pPr>
      <w:r>
        <w:rPr>
          <w:rFonts w:cs="Times New Roman" w:ascii="Times New Roman" w:hAnsi="Times New Roman"/>
          <w:sz w:val="24"/>
        </w:rPr>
        <w:t>Enron North America Corp.</w:t>
      </w:r>
    </w:p>
    <w:p>
      <w:pPr>
        <w:pStyle w:val="Normal"/>
        <w:ind w:start="720" w:end="0"/>
        <w:rPr>
          <w:rFonts w:ascii="Times New Roman" w:hAnsi="Times New Roman" w:cs="Times New Roman"/>
          <w:sz w:val="24"/>
        </w:rPr>
      </w:pPr>
      <w:r>
        <w:rPr>
          <w:rFonts w:cs="Times New Roman" w:ascii="Times New Roman" w:hAnsi="Times New Roman"/>
          <w:sz w:val="24"/>
        </w:rPr>
        <w:t>121 SW Salmon Street, 3WTC0306</w:t>
      </w:r>
    </w:p>
    <w:p>
      <w:pPr>
        <w:pStyle w:val="Normal"/>
        <w:ind w:start="720" w:end="0"/>
        <w:rPr>
          <w:rFonts w:ascii="Times New Roman" w:hAnsi="Times New Roman" w:cs="Times New Roman"/>
          <w:sz w:val="24"/>
        </w:rPr>
      </w:pPr>
      <w:r>
        <w:rPr>
          <w:rFonts w:cs="Times New Roman" w:ascii="Times New Roman" w:hAnsi="Times New Roman"/>
          <w:sz w:val="24"/>
        </w:rPr>
        <w:t>Portland, Oregon  97204</w:t>
      </w:r>
    </w:p>
    <w:p>
      <w:pPr>
        <w:pStyle w:val="Normal"/>
        <w:tabs>
          <w:tab w:val="left" w:pos="720" w:leader="none"/>
        </w:tabs>
        <w:rPr>
          <w:rFonts w:ascii="Times New Roman" w:hAnsi="Times New Roman" w:cs="Times New Roman"/>
          <w:sz w:val="24"/>
        </w:rPr>
      </w:pPr>
      <w:r>
        <w:rPr>
          <w:rFonts w:cs="Times New Roman" w:ascii="Times New Roman" w:hAnsi="Times New Roman"/>
          <w:sz w:val="24"/>
        </w:rPr>
        <w:tab/>
        <w:t>Telephone:  (503) 464-3822</w:t>
      </w:r>
    </w:p>
    <w:p>
      <w:pPr>
        <w:pStyle w:val="Normal"/>
        <w:tabs>
          <w:tab w:val="left" w:pos="720" w:leader="none"/>
        </w:tabs>
        <w:rPr>
          <w:rFonts w:ascii="Times New Roman" w:hAnsi="Times New Roman" w:cs="Times New Roman"/>
          <w:sz w:val="24"/>
        </w:rPr>
      </w:pPr>
      <w:r>
        <w:rPr>
          <w:rFonts w:cs="Times New Roman" w:ascii="Times New Roman" w:hAnsi="Times New Roman"/>
          <w:sz w:val="24"/>
        </w:rPr>
        <w:tab/>
        <w:t>Fax:  (503) 464-3740</w:t>
      </w:r>
    </w:p>
    <w:p>
      <w:pPr>
        <w:pStyle w:val="Normal"/>
        <w:tabs>
          <w:tab w:val="left" w:pos="720" w:leader="none"/>
        </w:tabs>
        <w:rPr>
          <w:rFonts w:ascii="Times New Roman" w:hAnsi="Times New Roman" w:cs="Times New Roman"/>
          <w:sz w:val="24"/>
        </w:rPr>
      </w:pPr>
      <w:r>
        <w:rPr>
          <w:rFonts w:cs="Times New Roman" w:ascii="Times New Roman" w:hAnsi="Times New Roman"/>
          <w:sz w:val="24"/>
        </w:rPr>
        <w:tab/>
        <w:t xml:space="preserve">e-mail:  </w:t>
      </w:r>
      <w:hyperlink r:id="rId2">
        <w:r>
          <w:rPr>
            <w:rStyle w:val="Hyperlink"/>
            <w:rFonts w:cs="Times New Roman" w:ascii="Times New Roman" w:hAnsi="Times New Roman"/>
            <w:sz w:val="24"/>
            <w:u w:val="none"/>
          </w:rPr>
          <w:t>cfoster@enron.com</w:t>
        </w:r>
      </w:hyperlink>
    </w:p>
    <w:p>
      <w:pPr>
        <w:pStyle w:val="Normal"/>
        <w:tabs>
          <w:tab w:val="left" w:pos="720" w:leader="none"/>
        </w:tabs>
        <w:rPr>
          <w:rFonts w:ascii="Times New Roman" w:hAnsi="Times New Roman" w:cs="Times New Roman"/>
          <w:sz w:val="24"/>
        </w:rPr>
      </w:pPr>
      <w:r>
        <w:rPr>
          <w:rFonts w:cs="Times New Roman" w:ascii="Times New Roman" w:hAnsi="Times New Roman"/>
          <w:sz w:val="24"/>
        </w:rPr>
      </w:r>
    </w:p>
    <w:p>
      <w:pPr>
        <w:pStyle w:val="Normal"/>
        <w:numPr>
          <w:ilvl w:val="0"/>
          <w:numId w:val="13"/>
        </w:numPr>
        <w:rPr>
          <w:rFonts w:ascii="Times New Roman" w:hAnsi="Times New Roman" w:cs="Times New Roman"/>
          <w:sz w:val="24"/>
        </w:rPr>
      </w:pPr>
      <w:r>
        <w:rPr>
          <w:rFonts w:cs="Times New Roman" w:ascii="Times New Roman" w:hAnsi="Times New Roman"/>
          <w:sz w:val="24"/>
        </w:rPr>
        <w:t>Accounting Issues</w:t>
      </w:r>
    </w:p>
    <w:p>
      <w:pPr>
        <w:pStyle w:val="Normal"/>
        <w:tabs>
          <w:tab w:val="left" w:pos="72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rPr>
          <w:rFonts w:ascii="Times New Roman" w:hAnsi="Times New Roman" w:cs="Times New Roman"/>
          <w:sz w:val="24"/>
        </w:rPr>
      </w:pPr>
      <w:r>
        <w:rPr>
          <w:rFonts w:cs="Times New Roman" w:ascii="Times New Roman" w:hAnsi="Times New Roman"/>
          <w:sz w:val="24"/>
        </w:rPr>
        <w:tab/>
        <w:t>Heather Dunton</w:t>
      </w:r>
    </w:p>
    <w:p>
      <w:pPr>
        <w:pStyle w:val="Normal"/>
        <w:ind w:start="720" w:end="0"/>
        <w:rPr>
          <w:rFonts w:ascii="Times New Roman" w:hAnsi="Times New Roman" w:cs="Times New Roman"/>
          <w:sz w:val="24"/>
        </w:rPr>
      </w:pPr>
      <w:r>
        <w:rPr>
          <w:rFonts w:cs="Times New Roman" w:ascii="Times New Roman" w:hAnsi="Times New Roman"/>
          <w:sz w:val="24"/>
        </w:rPr>
        <w:t>Enron North America Corp.</w:t>
      </w:r>
    </w:p>
    <w:p>
      <w:pPr>
        <w:pStyle w:val="Normal"/>
        <w:ind w:start="720" w:end="0"/>
        <w:rPr>
          <w:rFonts w:ascii="Times New Roman" w:hAnsi="Times New Roman" w:cs="Times New Roman"/>
          <w:sz w:val="24"/>
        </w:rPr>
      </w:pPr>
      <w:r>
        <w:rPr>
          <w:rFonts w:cs="Times New Roman" w:ascii="Times New Roman" w:hAnsi="Times New Roman"/>
          <w:sz w:val="24"/>
        </w:rPr>
        <w:t>121 SW Salmon Street, 3WTC0306</w:t>
      </w:r>
    </w:p>
    <w:p>
      <w:pPr>
        <w:pStyle w:val="Normal"/>
        <w:ind w:start="720" w:end="0"/>
        <w:rPr>
          <w:rFonts w:ascii="Times New Roman" w:hAnsi="Times New Roman" w:cs="Times New Roman"/>
          <w:sz w:val="24"/>
        </w:rPr>
      </w:pPr>
      <w:r>
        <w:rPr>
          <w:rFonts w:cs="Times New Roman" w:ascii="Times New Roman" w:hAnsi="Times New Roman"/>
          <w:sz w:val="24"/>
        </w:rPr>
        <w:t>Portland, Oregon  97204</w:t>
      </w:r>
    </w:p>
    <w:p>
      <w:pPr>
        <w:pStyle w:val="Normal"/>
        <w:tabs>
          <w:tab w:val="left" w:pos="720" w:leader="none"/>
        </w:tabs>
        <w:rPr>
          <w:rFonts w:ascii="Times New Roman" w:hAnsi="Times New Roman" w:cs="Times New Roman"/>
          <w:sz w:val="24"/>
        </w:rPr>
      </w:pPr>
      <w:r>
        <w:rPr>
          <w:rFonts w:cs="Times New Roman" w:ascii="Times New Roman" w:hAnsi="Times New Roman"/>
          <w:sz w:val="24"/>
        </w:rPr>
        <w:tab/>
        <w:t>Telephone:  (503) 464-8020</w:t>
      </w:r>
    </w:p>
    <w:p>
      <w:pPr>
        <w:pStyle w:val="Normal"/>
        <w:tabs>
          <w:tab w:val="left" w:pos="720" w:leader="none"/>
        </w:tabs>
        <w:rPr>
          <w:rFonts w:ascii="Times New Roman" w:hAnsi="Times New Roman" w:cs="Times New Roman"/>
          <w:sz w:val="24"/>
        </w:rPr>
      </w:pPr>
      <w:r>
        <w:rPr>
          <w:rFonts w:cs="Times New Roman" w:ascii="Times New Roman" w:hAnsi="Times New Roman"/>
          <w:sz w:val="24"/>
        </w:rPr>
        <w:tab/>
        <w:t>Fax:  (503) 464-3740</w:t>
      </w:r>
    </w:p>
    <w:p>
      <w:pPr>
        <w:pStyle w:val="Normal"/>
        <w:tabs>
          <w:tab w:val="left" w:pos="720" w:leader="none"/>
        </w:tabs>
        <w:rPr>
          <w:rFonts w:ascii="Times New Roman" w:hAnsi="Times New Roman" w:cs="Times New Roman"/>
          <w:sz w:val="24"/>
        </w:rPr>
      </w:pPr>
      <w:r>
        <w:rPr>
          <w:rFonts w:cs="Times New Roman" w:ascii="Times New Roman" w:hAnsi="Times New Roman"/>
          <w:sz w:val="24"/>
        </w:rPr>
        <w:tab/>
        <w:t xml:space="preserve">e-mail:  </w:t>
      </w:r>
      <w:hyperlink r:id="rId3">
        <w:r>
          <w:rPr>
            <w:rStyle w:val="Hyperlink"/>
            <w:rFonts w:cs="Times New Roman" w:ascii="Times New Roman" w:hAnsi="Times New Roman"/>
            <w:color w:val="auto"/>
            <w:sz w:val="24"/>
            <w:u w:val="none"/>
          </w:rPr>
          <w:t>hdunton@enron.com</w:t>
        </w:r>
      </w:hyperlink>
    </w:p>
    <w:p>
      <w:pPr>
        <w:pStyle w:val="Normal"/>
        <w:tabs>
          <w:tab w:val="left" w:pos="720" w:leader="none"/>
        </w:tabs>
        <w:rPr>
          <w:rFonts w:ascii="Times New Roman" w:hAnsi="Times New Roman" w:cs="Times New Roman"/>
          <w:sz w:val="24"/>
        </w:rPr>
      </w:pPr>
      <w:r>
        <w:rPr>
          <w:rFonts w:cs="Times New Roman" w:ascii="Times New Roman" w:hAnsi="Times New Roman"/>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t>SSC Contact Persons:</w:t>
      </w:r>
    </w:p>
    <w:p>
      <w:pPr>
        <w:pStyle w:val="BodyText3"/>
        <w:jc w:val="start"/>
        <w:rPr>
          <w:rFonts w:ascii="Times New Roman" w:hAnsi="Times New Roman" w:cs="Times New Roman"/>
          <w:b/>
          <w:sz w:val="24"/>
        </w:rPr>
      </w:pPr>
      <w:r>
        <w:rPr>
          <w:rFonts w:cs="Times New Roman"/>
          <w:b/>
          <w:sz w:val="24"/>
        </w:rPr>
      </w:r>
    </w:p>
    <w:p>
      <w:pPr>
        <w:pStyle w:val="BodyText3"/>
        <w:jc w:val="start"/>
        <w:rPr/>
      </w:pPr>
      <w:r>
        <w:rPr/>
        <w:t>SSC shall contact EPMI upon forty</w:t>
        <w:noBreakHyphen/>
        <w:t xml:space="preserve">eight (48) hours advance written notice to SSC of any changes in the below  noted contact person. </w:t>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numPr>
          <w:ilvl w:val="0"/>
          <w:numId w:val="16"/>
        </w:numPr>
        <w:tabs>
          <w:tab w:val="clear" w:pos="720"/>
          <w:tab w:val="left" w:pos="360" w:leader="none"/>
          <w:tab w:val="left" w:pos="1800" w:leader="none"/>
          <w:tab w:val="left" w:pos="3600" w:leader="none"/>
        </w:tabs>
        <w:rPr>
          <w:rFonts w:ascii="Times New Roman" w:hAnsi="Times New Roman" w:cs="Times New Roman"/>
          <w:sz w:val="24"/>
        </w:rPr>
      </w:pPr>
      <w:r>
        <w:rPr>
          <w:rFonts w:cs="Times New Roman" w:ascii="Times New Roman" w:hAnsi="Times New Roman"/>
          <w:sz w:val="24"/>
        </w:rPr>
        <w:t xml:space="preserve">Scheduling Issues </w:t>
      </w:r>
    </w:p>
    <w:p>
      <w:pPr>
        <w:pStyle w:val="Normal"/>
        <w:tabs>
          <w:tab w:val="left" w:pos="360" w:leader="none"/>
          <w:tab w:val="left" w:pos="720" w:leader="none"/>
          <w:tab w:val="left" w:pos="1800" w:leader="none"/>
          <w:tab w:val="left" w:pos="3600" w:leader="none"/>
        </w:tabs>
        <w:rPr>
          <w:rFonts w:ascii="Times New Roman" w:hAnsi="Times New Roman" w:cs="Times New Roman"/>
          <w:sz w:val="24"/>
        </w:rPr>
      </w:pPr>
      <w:r>
        <w:rPr>
          <w:rFonts w:cs="Times New Roman" w:ascii="Times New Roman" w:hAnsi="Times New Roman"/>
          <w:sz w:val="24"/>
        </w:rPr>
        <w:tab/>
      </w:r>
    </w:p>
    <w:p>
      <w:pPr>
        <w:pStyle w:val="Normal"/>
        <w:tabs>
          <w:tab w:val="left" w:pos="720" w:leader="none"/>
        </w:tabs>
        <w:rPr>
          <w:rFonts w:ascii="Times New Roman" w:hAnsi="Times New Roman" w:cs="Times New Roman"/>
          <w:sz w:val="24"/>
        </w:rPr>
      </w:pPr>
      <w:r>
        <w:rPr>
          <w:rFonts w:cs="Times New Roman" w:ascii="Times New Roman" w:hAnsi="Times New Roman"/>
          <w:sz w:val="24"/>
        </w:rPr>
        <w:tab/>
      </w:r>
    </w:p>
    <w:p>
      <w:pPr>
        <w:pStyle w:val="Normal"/>
        <w:tabs>
          <w:tab w:val="left" w:pos="720" w:leader="none"/>
        </w:tabs>
        <w:rPr>
          <w:rFonts w:ascii="Times New Roman" w:hAnsi="Times New Roman" w:cs="Times New Roman"/>
          <w:sz w:val="24"/>
        </w:rPr>
      </w:pPr>
      <w:r>
        <w:rPr>
          <w:rFonts w:cs="Times New Roman" w:ascii="Times New Roman" w:hAnsi="Times New Roman"/>
          <w:sz w:val="24"/>
        </w:rPr>
        <w:tab/>
      </w:r>
      <w:r>
        <w:br w:type="page"/>
      </w:r>
    </w:p>
    <w:p>
      <w:pPr>
        <w:pStyle w:val="Normal"/>
        <w:numPr>
          <w:ilvl w:val="0"/>
          <w:numId w:val="14"/>
        </w:numPr>
        <w:rPr>
          <w:rFonts w:ascii="Times New Roman" w:hAnsi="Times New Roman" w:cs="Times New Roman"/>
          <w:sz w:val="24"/>
        </w:rPr>
      </w:pPr>
      <w:r>
        <w:rPr>
          <w:rFonts w:cs="Times New Roman" w:ascii="Times New Roman" w:hAnsi="Times New Roman"/>
          <w:sz w:val="24"/>
        </w:rPr>
        <w:t>Notices and Correspondence</w:t>
      </w:r>
    </w:p>
    <w:p>
      <w:pPr>
        <w:pStyle w:val="Normal"/>
        <w:rPr>
          <w:rFonts w:ascii="Times New Roman" w:hAnsi="Times New Roman" w:cs="Times New Roman"/>
          <w:sz w:val="24"/>
        </w:rPr>
      </w:pPr>
      <w:r>
        <w:rPr>
          <w:rFonts w:cs="Times New Roman" w:ascii="Times New Roman" w:hAnsi="Times New Roman"/>
          <w:sz w:val="24"/>
        </w:rPr>
      </w:r>
    </w:p>
    <w:p>
      <w:pPr>
        <w:pStyle w:val="Normal"/>
        <w:ind w:start="360" w:end="0"/>
        <w:rPr>
          <w:rFonts w:ascii="Times New Roman" w:hAnsi="Times New Roman" w:cs="Times New Roman"/>
          <w:sz w:val="24"/>
        </w:rPr>
      </w:pPr>
      <w:r>
        <w:rPr>
          <w:rFonts w:cs="Times New Roman" w:ascii="Times New Roman" w:hAnsi="Times New Roman"/>
          <w:sz w:val="24"/>
        </w:rPr>
      </w:r>
    </w:p>
    <w:p>
      <w:pPr>
        <w:pStyle w:val="Normal"/>
        <w:numPr>
          <w:ilvl w:val="0"/>
          <w:numId w:val="14"/>
        </w:numPr>
        <w:rPr>
          <w:rFonts w:ascii="Times New Roman" w:hAnsi="Times New Roman" w:cs="Times New Roman"/>
          <w:sz w:val="24"/>
        </w:rPr>
      </w:pPr>
      <w:r>
        <w:rPr>
          <w:rFonts w:cs="Times New Roman" w:ascii="Times New Roman" w:hAnsi="Times New Roman"/>
          <w:sz w:val="24"/>
        </w:rPr>
        <w:t>Accounting Issues</w:t>
        <w:tab/>
      </w:r>
    </w:p>
    <w:p>
      <w:pPr>
        <w:pStyle w:val="Normal"/>
        <w:tabs>
          <w:tab w:val="left" w:pos="720" w:leader="none"/>
        </w:tabs>
        <w:ind w:start="720" w:end="0"/>
        <w:rPr>
          <w:rFonts w:ascii="Times New Roman" w:hAnsi="Times New Roman" w:cs="Times New Roman"/>
          <w:sz w:val="24"/>
        </w:rPr>
      </w:pPr>
      <w:r>
        <w:rPr>
          <w:rFonts w:cs="Times New Roman" w:ascii="Times New Roman" w:hAnsi="Times New Roman"/>
          <w:sz w:val="24"/>
        </w:rPr>
      </w:r>
    </w:p>
    <w:p>
      <w:pPr>
        <w:pStyle w:val="Normal"/>
        <w:tabs>
          <w:tab w:val="left" w:pos="720" w:leader="none"/>
        </w:tabs>
        <w:ind w:start="720" w:end="0"/>
        <w:rPr>
          <w:rFonts w:ascii="Times New Roman" w:hAnsi="Times New Roman" w:cs="Times New Roman"/>
          <w:sz w:val="24"/>
        </w:rPr>
      </w:pPr>
      <w:r>
        <w:rPr>
          <w:rFonts w:cs="Times New Roman" w:ascii="Times New Roman" w:hAnsi="Times New Roman"/>
          <w:sz w:val="24"/>
        </w:rPr>
      </w:r>
    </w:p>
    <w:p>
      <w:pPr>
        <w:pStyle w:val="Normal"/>
        <w:tabs>
          <w:tab w:val="left" w:pos="720" w:leader="none"/>
        </w:tabs>
        <w:ind w:start="720" w:end="0"/>
        <w:rPr>
          <w:rFonts w:ascii="Times New Roman" w:hAnsi="Times New Roman" w:cs="Times New Roman"/>
          <w:sz w:val="24"/>
        </w:rPr>
      </w:pPr>
      <w:r>
        <w:rPr>
          <w:rFonts w:cs="Times New Roman" w:ascii="Times New Roman" w:hAnsi="Times New Roman"/>
          <w:sz w:val="24"/>
        </w:rPr>
        <w:t>Wire Transfer Information:</w:t>
      </w:r>
    </w:p>
    <w:p>
      <w:pPr>
        <w:pStyle w:val="Normal"/>
        <w:tabs>
          <w:tab w:val="left" w:pos="720" w:leader="none"/>
        </w:tabs>
        <w:ind w:start="720" w:end="0"/>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color w:val="000000"/>
          <w:sz w:val="24"/>
        </w:rPr>
      </w:pPr>
      <w:r>
        <w:rPr>
          <w:rFonts w:cs="Times New Roman" w:ascii="Times New Roman" w:hAnsi="Times New Roman"/>
          <w:sz w:val="24"/>
        </w:rPr>
        <w:tab/>
        <w:t>Bank Name:</w:t>
        <w:tab/>
      </w:r>
    </w:p>
    <w:p>
      <w:pPr>
        <w:pStyle w:val="Normal"/>
        <w:tabs>
          <w:tab w:val="left" w:pos="720" w:leader="none"/>
        </w:tabs>
        <w:ind w:start="720" w:end="0"/>
        <w:rPr>
          <w:rFonts w:ascii="Times New Roman" w:hAnsi="Times New Roman" w:cs="Times New Roman"/>
          <w:color w:val="000000"/>
          <w:sz w:val="24"/>
        </w:rPr>
      </w:pPr>
      <w:r>
        <w:rPr>
          <w:rFonts w:cs="Times New Roman" w:ascii="Times New Roman" w:hAnsi="Times New Roman"/>
          <w:color w:val="000000"/>
          <w:sz w:val="24"/>
        </w:rPr>
      </w:r>
    </w:p>
    <w:p>
      <w:pPr>
        <w:pStyle w:val="Normal"/>
        <w:tabs>
          <w:tab w:val="clear" w:pos="720"/>
          <w:tab w:val="left" w:pos="1440" w:leader="none"/>
          <w:tab w:val="left" w:pos="1800" w:leader="none"/>
          <w:tab w:val="left" w:pos="3600" w:leader="none"/>
          <w:tab w:val="left" w:pos="91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1800" w:leader="none"/>
          <w:tab w:val="left" w:pos="3600" w:leader="none"/>
          <w:tab w:val="left" w:pos="9180" w:leader="none"/>
        </w:tabs>
        <w:rPr>
          <w:rFonts w:ascii="Times New Roman" w:hAnsi="Times New Roman" w:cs="Times New Roman"/>
          <w:sz w:val="24"/>
        </w:rPr>
      </w:pPr>
      <w:r>
        <w:rPr>
          <w:rFonts w:cs="Times New Roman" w:ascii="Times New Roman" w:hAnsi="Times New Roman"/>
          <w:sz w:val="24"/>
        </w:rPr>
        <w:t>IN WITNESS whereof, this Confirmation Letter is executed as of the date first set forth above.</w:t>
      </w:r>
    </w:p>
    <w:p>
      <w:pPr>
        <w:pStyle w:val="Normal"/>
        <w:tabs>
          <w:tab w:val="clear" w:pos="720"/>
          <w:tab w:val="left" w:pos="1440" w:leader="none"/>
          <w:tab w:val="left" w:pos="1800" w:leader="none"/>
          <w:tab w:val="left" w:pos="3600" w:leader="none"/>
          <w:tab w:val="left" w:pos="9180" w:leader="none"/>
        </w:tabs>
        <w:rPr>
          <w:rFonts w:ascii="Times New Roman" w:hAnsi="Times New Roman" w:cs="Times New Roman"/>
          <w:sz w:val="24"/>
        </w:rPr>
      </w:pPr>
      <w:r>
        <w:rPr>
          <w:rFonts w:cs="Times New Roman" w:ascii="Times New Roman" w:hAnsi="Times New Roman"/>
          <w:sz w:val="24"/>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left" w:pos="720" w:leader="none"/>
              </w:tabs>
              <w:rPr>
                <w:rFonts w:ascii="Times New Roman" w:hAnsi="Times New Roman" w:cs="Times New Roman"/>
                <w:b/>
                <w:sz w:val="24"/>
              </w:rPr>
            </w:pPr>
            <w:r>
              <w:rPr>
                <w:rFonts w:cs="Times New Roman" w:ascii="Times New Roman" w:hAnsi="Times New Roman"/>
                <w:b/>
                <w:sz w:val="24"/>
              </w:rPr>
              <w:t>SMURFIT STONE CONTAINER CORPORATION</w:t>
            </w:r>
          </w:p>
          <w:p>
            <w:pPr>
              <w:pStyle w:val="Normal"/>
              <w:tabs>
                <w:tab w:val="left" w:pos="720" w:leader="none"/>
              </w:tabs>
              <w:rPr>
                <w:rFonts w:ascii="Times New Roman" w:hAnsi="Times New Roman" w:cs="Times New Roman"/>
                <w:b/>
                <w:sz w:val="24"/>
              </w:rPr>
            </w:pPr>
            <w:r>
              <w:rPr>
                <w:rFonts w:cs="Times New Roman" w:ascii="Times New Roman" w:hAnsi="Times New Roman"/>
                <w:b/>
                <w:sz w:val="24"/>
              </w:rPr>
            </w:r>
          </w:p>
          <w:p>
            <w:pPr>
              <w:pStyle w:val="Normal"/>
              <w:tabs>
                <w:tab w:val="left" w:pos="720" w:leader="none"/>
              </w:tabs>
              <w:rPr>
                <w:rFonts w:ascii="Times New Roman" w:hAnsi="Times New Roman" w:cs="Times New Roman"/>
                <w:b/>
                <w:sz w:val="24"/>
              </w:rPr>
            </w:pPr>
            <w:r>
              <w:rPr>
                <w:rFonts w:cs="Times New Roman" w:ascii="Times New Roman" w:hAnsi="Times New Roman"/>
                <w:b/>
                <w:sz w:val="24"/>
              </w:rPr>
            </w:r>
          </w:p>
          <w:p>
            <w:pPr>
              <w:pStyle w:val="Normal"/>
              <w:tabs>
                <w:tab w:val="left" w:pos="720" w:leader="none"/>
              </w:tabs>
              <w:rPr/>
            </w:pPr>
            <w:r>
              <w:rPr>
                <w:rFonts w:cs="Times New Roman" w:ascii="Times New Roman" w:hAnsi="Times New Roman"/>
                <w:sz w:val="24"/>
              </w:rPr>
              <w:t xml:space="preserve">By:  </w:t>
            </w:r>
            <w:r>
              <w:rPr>
                <w:rFonts w:cs="Times New Roman" w:ascii="Times New Roman" w:hAnsi="Times New Roman"/>
                <w:sz w:val="24"/>
                <w:u w:val="single"/>
              </w:rPr>
              <w:tab/>
              <w:tab/>
              <w:tab/>
              <w:tab/>
              <w:tab/>
              <w:tab/>
            </w:r>
          </w:p>
          <w:p>
            <w:pPr>
              <w:pStyle w:val="Normal"/>
              <w:tabs>
                <w:tab w:val="left" w:pos="720" w:leader="none"/>
              </w:tabs>
              <w:rPr/>
            </w:pPr>
            <w:r>
              <w:rPr>
                <w:rFonts w:cs="Times New Roman" w:ascii="Times New Roman" w:hAnsi="Times New Roman"/>
                <w:sz w:val="24"/>
              </w:rPr>
              <w:t xml:space="preserve">Name:  </w:t>
            </w:r>
            <w:r>
              <w:rPr>
                <w:rFonts w:cs="Times New Roman" w:ascii="Times New Roman" w:hAnsi="Times New Roman"/>
                <w:sz w:val="24"/>
                <w:u w:val="single"/>
              </w:rPr>
              <w:tab/>
              <w:tab/>
              <w:tab/>
              <w:tab/>
              <w:tab/>
            </w:r>
          </w:p>
          <w:p>
            <w:pPr>
              <w:pStyle w:val="Normal"/>
              <w:tabs>
                <w:tab w:val="left" w:pos="720" w:leader="none"/>
              </w:tabs>
              <w:rPr/>
            </w:pPr>
            <w:r>
              <w:rPr>
                <w:rFonts w:cs="Times New Roman" w:ascii="Times New Roman" w:hAnsi="Times New Roman"/>
                <w:sz w:val="24"/>
              </w:rPr>
              <w:t xml:space="preserve">Title:  </w:t>
            </w:r>
            <w:r>
              <w:rPr>
                <w:rFonts w:cs="Times New Roman" w:ascii="Times New Roman" w:hAnsi="Times New Roman"/>
                <w:sz w:val="24"/>
                <w:u w:val="single"/>
              </w:rPr>
              <w:tab/>
              <w:tab/>
              <w:tab/>
              <w:tab/>
              <w:tab/>
              <w:tab/>
            </w:r>
          </w:p>
        </w:tc>
        <w:tc>
          <w:tcPr>
            <w:tcW w:w="4788" w:type="dxa"/>
            <w:tcBorders/>
          </w:tcPr>
          <w:p>
            <w:pPr>
              <w:pStyle w:val="Normal"/>
              <w:tabs>
                <w:tab w:val="left" w:pos="720" w:leader="none"/>
              </w:tabs>
              <w:rPr>
                <w:rFonts w:ascii="Times New Roman" w:hAnsi="Times New Roman" w:cs="Times New Roman"/>
                <w:b/>
                <w:sz w:val="24"/>
              </w:rPr>
            </w:pPr>
            <w:r>
              <w:rPr>
                <w:rFonts w:cs="Times New Roman" w:ascii="Times New Roman" w:hAnsi="Times New Roman"/>
                <w:b/>
                <w:sz w:val="24"/>
              </w:rPr>
              <w:t>ENRON POWER MARKETING, INC.</w:t>
            </w:r>
          </w:p>
          <w:p>
            <w:pPr>
              <w:pStyle w:val="Normal"/>
              <w:tabs>
                <w:tab w:val="left" w:pos="720" w:leader="none"/>
              </w:tabs>
              <w:rPr>
                <w:rFonts w:ascii="Times New Roman" w:hAnsi="Times New Roman" w:cs="Times New Roman"/>
                <w:b/>
                <w:sz w:val="24"/>
              </w:rPr>
            </w:pPr>
            <w:r>
              <w:rPr>
                <w:rFonts w:cs="Times New Roman" w:ascii="Times New Roman" w:hAnsi="Times New Roman"/>
                <w:b/>
                <w:sz w:val="24"/>
              </w:rPr>
            </w:r>
          </w:p>
          <w:p>
            <w:pPr>
              <w:pStyle w:val="Normal"/>
              <w:tabs>
                <w:tab w:val="left" w:pos="720" w:leader="none"/>
              </w:tabs>
              <w:rPr>
                <w:rFonts w:ascii="Times New Roman" w:hAnsi="Times New Roman" w:cs="Times New Roman"/>
                <w:b/>
                <w:sz w:val="24"/>
              </w:rPr>
            </w:pPr>
            <w:r>
              <w:rPr>
                <w:rFonts w:cs="Times New Roman" w:ascii="Times New Roman" w:hAnsi="Times New Roman"/>
                <w:b/>
                <w:sz w:val="24"/>
              </w:rPr>
            </w:r>
          </w:p>
          <w:p>
            <w:pPr>
              <w:pStyle w:val="Normal"/>
              <w:tabs>
                <w:tab w:val="left" w:pos="720" w:leader="none"/>
              </w:tabs>
              <w:rPr/>
            </w:pPr>
            <w:r>
              <w:rPr>
                <w:rFonts w:cs="Times New Roman" w:ascii="Times New Roman" w:hAnsi="Times New Roman"/>
                <w:sz w:val="24"/>
              </w:rPr>
              <w:t xml:space="preserve">By:  </w:t>
            </w:r>
            <w:r>
              <w:rPr>
                <w:rFonts w:cs="Times New Roman" w:ascii="Times New Roman" w:hAnsi="Times New Roman"/>
                <w:sz w:val="24"/>
                <w:u w:val="single"/>
              </w:rPr>
              <w:tab/>
              <w:tab/>
              <w:tab/>
              <w:tab/>
              <w:tab/>
              <w:tab/>
            </w:r>
          </w:p>
          <w:p>
            <w:pPr>
              <w:pStyle w:val="Normal"/>
              <w:tabs>
                <w:tab w:val="left" w:pos="720" w:leader="none"/>
              </w:tabs>
              <w:rPr/>
            </w:pPr>
            <w:r>
              <w:rPr>
                <w:rFonts w:cs="Times New Roman" w:ascii="Times New Roman" w:hAnsi="Times New Roman"/>
                <w:sz w:val="24"/>
              </w:rPr>
              <w:t xml:space="preserve">Name:  </w:t>
            </w:r>
            <w:r>
              <w:rPr>
                <w:rFonts w:cs="Times New Roman" w:ascii="Times New Roman" w:hAnsi="Times New Roman"/>
                <w:sz w:val="24"/>
                <w:u w:val="single"/>
              </w:rPr>
              <w:tab/>
              <w:tab/>
              <w:tab/>
              <w:tab/>
              <w:tab/>
            </w:r>
          </w:p>
          <w:p>
            <w:pPr>
              <w:pStyle w:val="Normal"/>
              <w:tabs>
                <w:tab w:val="left" w:pos="720" w:leader="none"/>
              </w:tabs>
              <w:rPr/>
            </w:pPr>
            <w:r>
              <w:rPr>
                <w:rFonts w:cs="Times New Roman" w:ascii="Times New Roman" w:hAnsi="Times New Roman"/>
                <w:sz w:val="24"/>
              </w:rPr>
              <w:t xml:space="preserve">Title:  </w:t>
            </w:r>
            <w:r>
              <w:rPr>
                <w:rFonts w:cs="Times New Roman" w:ascii="Times New Roman" w:hAnsi="Times New Roman"/>
                <w:sz w:val="24"/>
                <w:u w:val="single"/>
              </w:rPr>
              <w:tab/>
              <w:tab/>
              <w:tab/>
              <w:tab/>
              <w:tab/>
              <w:tab/>
            </w:r>
          </w:p>
        </w:tc>
      </w:tr>
      <w:tr>
        <w:trPr/>
        <w:tc>
          <w:tcPr>
            <w:tcW w:w="4788" w:type="dxa"/>
            <w:tcBorders/>
          </w:tcPr>
          <w:p>
            <w:pPr>
              <w:pStyle w:val="Normal"/>
              <w:tabs>
                <w:tab w:val="left" w:pos="720" w:leader="none"/>
              </w:tabs>
              <w:snapToGrid w:val="false"/>
              <w:rPr>
                <w:rFonts w:ascii="Times New Roman" w:hAnsi="Times New Roman" w:cs="Times New Roman"/>
                <w:sz w:val="24"/>
                <w:u w:val="single"/>
              </w:rPr>
            </w:pPr>
            <w:r>
              <w:rPr>
                <w:rFonts w:cs="Times New Roman" w:ascii="Times New Roman" w:hAnsi="Times New Roman"/>
                <w:sz w:val="24"/>
                <w:u w:val="single"/>
              </w:rPr>
            </w:r>
          </w:p>
        </w:tc>
        <w:tc>
          <w:tcPr>
            <w:tcW w:w="4788" w:type="dxa"/>
            <w:tcBorders/>
          </w:tcPr>
          <w:p>
            <w:pPr>
              <w:pStyle w:val="Normal"/>
              <w:tabs>
                <w:tab w:val="left" w:pos="720" w:leader="none"/>
              </w:tabs>
              <w:snapToGrid w:val="false"/>
              <w:rPr>
                <w:rFonts w:ascii="Times New Roman" w:hAnsi="Times New Roman" w:cs="Times New Roman"/>
                <w:sz w:val="24"/>
              </w:rPr>
            </w:pPr>
            <w:r>
              <w:rPr>
                <w:rFonts w:cs="Times New Roman" w:ascii="Times New Roman" w:hAnsi="Times New Roman"/>
                <w:sz w:val="24"/>
              </w:rPr>
            </w:r>
          </w:p>
        </w:tc>
      </w:tr>
    </w:tbl>
    <w:p>
      <w:pPr>
        <w:pStyle w:val="Normal"/>
        <w:tabs>
          <w:tab w:val="left" w:pos="720" w:leader="none"/>
        </w:tabs>
        <w:ind w:start="720" w:end="0"/>
        <w:jc w:val="center"/>
        <w:rPr/>
      </w:pPr>
      <w:r>
        <w:rPr/>
      </w:r>
    </w:p>
    <w:sectPr>
      <w:headerReference w:type="default" r:id="rId4"/>
      <w:headerReference w:type="first" r:id="rId5"/>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upperRoman"/>
      <w:lvlText w:val="%1."/>
      <w:lvlJc w:val="start"/>
      <w:pPr>
        <w:tabs>
          <w:tab w:val="num" w:pos="720"/>
        </w:tabs>
        <w:ind w:start="720" w:hanging="720"/>
      </w:pPr>
      <w:rPr/>
    </w:lvl>
  </w:abstractNum>
  <w:abstractNum w:abstractNumId="6">
    <w:lvl w:ilvl="0">
      <w:start w:val="1"/>
      <w:numFmt w:val="lowerLetter"/>
      <w:lvlText w:val="%1."/>
      <w:lvlJc w:val="start"/>
      <w:pPr>
        <w:tabs>
          <w:tab w:val="num" w:pos="720"/>
        </w:tabs>
        <w:ind w:start="720" w:hanging="360"/>
      </w:pPr>
      <w:rPr/>
    </w:lvl>
  </w:abstractNum>
  <w:abstractNum w:abstractNumId="7">
    <w:lvl w:ilvl="0">
      <w:start w:val="1"/>
      <w:numFmt w:val="lowerLetter"/>
      <w:lvlText w:val="%1."/>
      <w:lvlJc w:val="start"/>
      <w:pPr>
        <w:tabs>
          <w:tab w:val="num" w:pos="1080"/>
        </w:tabs>
        <w:ind w:start="1080" w:hanging="360"/>
      </w:pPr>
      <w:rPr/>
    </w:lvl>
  </w:abstractNum>
  <w:abstractNum w:abstractNumId="8">
    <w:lvl w:ilvl="0">
      <w:start w:val="1"/>
      <w:numFmt w:val="decimal"/>
      <w:lvlText w:val="%1."/>
      <w:lvlJc w:val="start"/>
      <w:pPr>
        <w:tabs>
          <w:tab w:val="num" w:pos="720"/>
        </w:tabs>
        <w:ind w:start="720" w:hanging="360"/>
      </w:pPr>
      <w:rPr/>
    </w:lvl>
  </w:abstractNum>
  <w:abstractNum w:abstractNumId="9">
    <w:lvl w:ilvl="0">
      <w:start w:val="1"/>
      <w:numFmt w:val="lowerLetter"/>
      <w:lvlText w:val="%1."/>
      <w:lvlJc w:val="start"/>
      <w:pPr>
        <w:tabs>
          <w:tab w:val="num" w:pos="720"/>
        </w:tabs>
        <w:ind w:start="720" w:hanging="360"/>
      </w:pPr>
      <w:rPr/>
    </w:lvl>
  </w:abstractNum>
  <w:abstractNum w:abstractNumId="10">
    <w:lvl w:ilvl="0">
      <w:start w:val="1"/>
      <w:numFmt w:val="decimal"/>
      <w:lvlText w:val="%1."/>
      <w:lvlJc w:val="start"/>
      <w:pPr>
        <w:tabs>
          <w:tab w:val="num" w:pos="360"/>
        </w:tabs>
        <w:ind w:start="360" w:hanging="360"/>
      </w:pPr>
      <w:rPr/>
    </w:lvl>
  </w:abstractNum>
  <w:abstractNum w:abstractNumId="11">
    <w:lvl w:ilvl="0">
      <w:start w:val="1"/>
      <w:numFmt w:val="decimal"/>
      <w:lvlText w:val="%1."/>
      <w:lvlJc w:val="start"/>
      <w:pPr>
        <w:tabs>
          <w:tab w:val="num" w:pos="1080"/>
        </w:tabs>
        <w:ind w:start="1080" w:hanging="360"/>
      </w:pPr>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2"/>
      <w:numFmt w:val="decimal"/>
      <w:lvlText w:val="%1."/>
      <w:lvlJc w:val="start"/>
      <w:pPr>
        <w:tabs>
          <w:tab w:val="num" w:pos="720"/>
        </w:tabs>
        <w:ind w:start="720" w:hanging="360"/>
      </w:pPr>
      <w:rPr/>
    </w:lvl>
  </w:abstractNum>
  <w:abstractNum w:abstractNumId="14">
    <w:lvl w:ilvl="0">
      <w:start w:val="2"/>
      <w:numFmt w:val="decimal"/>
      <w:lvlText w:val="%1."/>
      <w:lvlJc w:val="start"/>
      <w:pPr>
        <w:tabs>
          <w:tab w:val="num" w:pos="720"/>
        </w:tabs>
        <w:ind w:start="720" w:hanging="360"/>
      </w:pPr>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decimal"/>
      <w:lvlText w:val="%1."/>
      <w:lvlJc w:val="start"/>
      <w:pPr>
        <w:tabs>
          <w:tab w:val="num" w:pos="720"/>
        </w:tabs>
        <w:ind w:start="720" w:hanging="360"/>
      </w:pPr>
      <w:rPr/>
    </w:lvl>
  </w:abstractNum>
  <w:abstractNum w:abstractNumId="17">
    <w:lvl w:ilvl="0">
      <w:start w:val="4"/>
      <w:numFmt w:val="lowerLetter"/>
      <w:lvlText w:val="%1."/>
      <w:lvlJc w:val="start"/>
      <w:pPr>
        <w:tabs>
          <w:tab w:val="num" w:pos="720"/>
        </w:tabs>
        <w:ind w:start="720" w:hanging="360"/>
      </w:pPr>
      <w:rPr/>
    </w:lvl>
  </w:abstractNum>
  <w:abstractNum w:abstractNumId="18">
    <w:lvl w:ilvl="0">
      <w:start w:val="2"/>
      <w:numFmt w:val="lowerLetter"/>
      <w:lvlText w:val="%1."/>
      <w:lvlJc w:val="start"/>
      <w:pPr>
        <w:tabs>
          <w:tab w:val="num" w:pos="1080"/>
        </w:tabs>
        <w:ind w:start="1080" w:hanging="360"/>
      </w:pPr>
      <w:rPr/>
    </w:lvl>
  </w:abstractNum>
  <w:abstractNum w:abstractNumId="19">
    <w:lvl w:ilvl="0">
      <w:start w:val="6"/>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firstLine="720" w:start="216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0"/>
        <w:numId w:val="5"/>
      </w:numPr>
      <w:tabs>
        <w:tab w:val="clear" w:pos="720"/>
        <w:tab w:val="left" w:pos="360" w:leader="none"/>
      </w:tabs>
      <w:ind w:hanging="360" w:start="360" w:end="0"/>
      <w:outlineLvl w:val="7"/>
    </w:pPr>
    <w:rPr>
      <w:rFonts w:ascii="Times New Roman" w:hAnsi="Times New Roman" w:cs="Times New Roman"/>
      <w:b/>
      <w:sz w:val="20"/>
    </w:rPr>
  </w:style>
  <w:style w:type="paragraph" w:styleId="Heading9">
    <w:name w:val="heading 9"/>
    <w:basedOn w:val="Normal"/>
    <w:next w:val="Normal"/>
    <w:qFormat/>
    <w:pPr>
      <w:keepNext w:val="true"/>
      <w:numPr>
        <w:ilvl w:val="8"/>
        <w:numId w:val="1"/>
      </w:numPr>
      <w:jc w:val="center"/>
      <w:outlineLvl w:val="8"/>
    </w:pPr>
    <w:rPr>
      <w:rFonts w:ascii="Times New Roman" w:hAnsi="Times New Roman" w:cs="Times New Roman"/>
      <w:b/>
      <w:sz w:val="24"/>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z w:val="20"/>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rFonts w:ascii="Times New Roman" w:hAnsi="Times New Roman" w:cs="Times New Roman"/>
    </w:rPr>
  </w:style>
  <w:style w:type="character" w:styleId="WW8Num21z0">
    <w:name w:val="WW8Num21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z w:val="20"/>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7z0">
    <w:name w:val="WW8Num37z0"/>
    <w:qFormat/>
    <w:rPr/>
  </w:style>
  <w:style w:type="character" w:styleId="WW8Num38z0">
    <w:name w:val="WW8Num38z0"/>
    <w:qFormat/>
    <w:rPr>
      <w:sz w:val="20"/>
    </w:rPr>
  </w:style>
  <w:style w:type="character" w:styleId="WW8Num39z0">
    <w:name w:val="WW8Num39z0"/>
    <w:qFormat/>
    <w:rPr/>
  </w:style>
  <w:style w:type="character" w:styleId="WW8Num40z0">
    <w:name w:val="WW8Num40z0"/>
    <w:qFormat/>
    <w:rPr/>
  </w:style>
  <w:style w:type="character" w:styleId="WW8Num41z0">
    <w:name w:val="WW8Num41z0"/>
    <w:qFormat/>
    <w:rPr>
      <w:u w:val="single"/>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rFonts w:ascii="Symbol" w:hAnsi="Symbol" w:cs="Symbol"/>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rFonts w:ascii="Symbol" w:hAnsi="Symbol" w:cs="Symbol"/>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z w:val="22"/>
    </w:rPr>
  </w:style>
  <w:style w:type="character" w:styleId="WW8Num67z0">
    <w:name w:val="WW8Num67z0"/>
    <w:qFormat/>
    <w:rPr>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Times New Roman" w:hAnsi="Times New Roman" w:cs="Times New Roman"/>
      <w:sz w:val="24"/>
    </w:rPr>
  </w:style>
  <w:style w:type="paragraph" w:styleId="BodyText">
    <w:name w:val="Body Text"/>
    <w:basedOn w:val="Normal"/>
    <w:pPr/>
    <w:rPr>
      <w:rFonts w:ascii="Times New Roman" w:hAnsi="Times New Roman" w:cs="Times New Roman"/>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Romans">
    <w:name w:val="Romans"/>
    <w:basedOn w:val="Normal"/>
    <w:qFormat/>
    <w:pPr/>
    <w:rPr>
      <w:rFonts w:ascii="Times New Roman" w:hAnsi="Times New Roman" w:cs="Times New Roman"/>
      <w:b/>
      <w:smallCaps/>
      <w:sz w:val="32"/>
    </w:rPr>
  </w:style>
  <w:style w:type="paragraph" w:styleId="top">
    <w:name w:val="top"/>
    <w:basedOn w:val="Normal"/>
    <w:qFormat/>
    <w:pPr>
      <w:jc w:val="center"/>
    </w:pPr>
    <w:rPr>
      <w:rFonts w:ascii="Times New Roman" w:hAnsi="Times New Roman" w:cs="Times New Roman"/>
      <w:b/>
      <w:smallCaps/>
      <w:sz w:val="32"/>
    </w:rPr>
  </w:style>
  <w:style w:type="paragraph" w:styleId="BodyTextIndent">
    <w:name w:val="Body Text Indent"/>
    <w:basedOn w:val="Normal"/>
    <w:pPr>
      <w:tabs>
        <w:tab w:val="clear" w:pos="720"/>
        <w:tab w:val="left" w:pos="0" w:leader="none"/>
      </w:tabs>
      <w:ind w:hanging="0" w:start="2160" w:end="0"/>
    </w:pPr>
    <w:rPr>
      <w:rFonts w:ascii="Times New Roman" w:hAnsi="Times New Roman" w:cs="Times New Roman"/>
      <w:sz w:val="20"/>
    </w:rPr>
  </w:style>
  <w:style w:type="paragraph" w:styleId="BodyText2">
    <w:name w:val="Body Text 2"/>
    <w:basedOn w:val="Normal"/>
    <w:qFormat/>
    <w:pPr/>
    <w:rPr>
      <w:rFonts w:ascii="Times New Roman" w:hAnsi="Times New Roman" w:cs="Times New Roman"/>
      <w:sz w:val="20"/>
    </w:rPr>
  </w:style>
  <w:style w:type="paragraph" w:styleId="BodyText3">
    <w:name w:val="Body Text 3"/>
    <w:basedOn w:val="Normal"/>
    <w:qFormat/>
    <w:pPr>
      <w:tabs>
        <w:tab w:val="clear" w:pos="720"/>
        <w:tab w:val="left" w:pos="1440" w:leader="none"/>
        <w:tab w:val="left" w:pos="4320" w:leader="none"/>
        <w:tab w:val="left" w:pos="5220" w:leader="none"/>
        <w:tab w:val="left" w:pos="9180" w:leader="none"/>
      </w:tabs>
      <w:jc w:val="both"/>
    </w:pPr>
    <w:rPr>
      <w:rFonts w:ascii="Times New Roman" w:hAnsi="Times New Roman" w:cs="Times New Roman"/>
      <w:sz w:val="24"/>
    </w:rPr>
  </w:style>
  <w:style w:type="paragraph" w:styleId="BodyTextIndent2">
    <w:name w:val="Body Text Indent 2"/>
    <w:basedOn w:val="Normal"/>
    <w:qFormat/>
    <w:pPr>
      <w:ind w:hanging="0" w:start="1440" w:end="0"/>
    </w:pPr>
    <w:rPr>
      <w:rFonts w:ascii="Times New Roman" w:hAnsi="Times New Roman" w:cs="Times New Roman"/>
      <w:sz w:val="24"/>
    </w:rPr>
  </w:style>
  <w:style w:type="paragraph" w:styleId="BodyTextIndent3">
    <w:name w:val="Body Text Indent 3"/>
    <w:basedOn w:val="Normal"/>
    <w:qFormat/>
    <w:pPr>
      <w:ind w:hanging="0" w:start="1440" w:end="0"/>
    </w:pPr>
    <w:rPr>
      <w:rFonts w:ascii="Times New Roman" w:hAnsi="Times New Roman" w:cs="Times New Roman"/>
      <w:i/>
      <w:sz w:val="24"/>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foster@enron.com" TargetMode="External"/><Relationship Id="rId3" Type="http://schemas.openxmlformats.org/officeDocument/2006/relationships/hyperlink" Target="mailto:hdunton@enrpon.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2001-01-17T18:37:00Z</dcterms:created>
  <dc:creator>EW/LN/CB</dc:creator>
  <dc:description/>
  <cp:keywords>Ethan</cp:keywords>
  <dc:language>en-CA</dc:language>
  <cp:lastModifiedBy>cfoster</cp:lastModifiedBy>
  <cp:lastPrinted>2001-01-17T13:16:00Z</cp:lastPrinted>
  <dcterms:modified xsi:type="dcterms:W3CDTF">2001-01-17T18:51:00Z</dcterms:modified>
  <cp:revision>3</cp:revision>
  <dc:subject/>
  <dc:title>Ethan Frome</dc:title>
</cp:coreProperties>
</file>