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i/>
          <w:i/>
          <w:iCs/>
          <w:sz w:val="32"/>
          <w:szCs w:val="32"/>
          <w:u w:val="single"/>
        </w:rPr>
      </w:pPr>
      <w:r>
        <w:rPr>
          <w:i/>
          <w:iCs/>
          <w:sz w:val="32"/>
          <w:szCs w:val="32"/>
          <w:u w:val="single"/>
        </w:rPr>
        <w:t>Draft Comments, June 6, 2001</w:t>
      </w:r>
    </w:p>
    <w:p>
      <w:pPr>
        <w:pStyle w:val="Heading"/>
        <w:rPr>
          <w:i/>
          <w:i/>
          <w:iCs/>
          <w:sz w:val="32"/>
          <w:szCs w:val="32"/>
          <w:u w:val="single"/>
        </w:rPr>
      </w:pPr>
      <w:r>
        <w:rPr>
          <w:i/>
          <w:iCs/>
          <w:sz w:val="32"/>
          <w:szCs w:val="32"/>
          <w:u w:val="single"/>
        </w:rPr>
      </w:r>
    </w:p>
    <w:p>
      <w:pPr>
        <w:pStyle w:val="Heading"/>
        <w:rPr/>
      </w:pPr>
      <w:r>
        <w:rPr/>
        <w:t xml:space="preserve">UNITED STATES OF AMERICA          </w:t>
      </w:r>
    </w:p>
    <w:p>
      <w:pPr>
        <w:pStyle w:val="Normal"/>
        <w:jc w:val="center"/>
        <w:rPr>
          <w:b/>
          <w:bCs/>
          <w:sz w:val="24"/>
          <w:szCs w:val="24"/>
        </w:rPr>
      </w:pPr>
      <w:r>
        <w:rPr>
          <w:b/>
          <w:bCs/>
          <w:sz w:val="24"/>
          <w:szCs w:val="24"/>
        </w:rPr>
        <w:t xml:space="preserve">BEFORE THE </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rPr>
          <w:sz w:val="24"/>
          <w:szCs w:val="24"/>
        </w:rPr>
      </w:pPr>
      <w:r>
        <w:rPr>
          <w:sz w:val="24"/>
          <w:szCs w:val="24"/>
        </w:rPr>
        <w:t>San Diego Gas and Electric Company</w:t>
        <w:tab/>
        <w:tab/>
      </w:r>
      <w:r>
        <w:rPr>
          <w:b/>
          <w:bCs/>
          <w:sz w:val="24"/>
          <w:szCs w:val="24"/>
        </w:rPr>
        <w:t>§</w:t>
      </w:r>
    </w:p>
    <w:p>
      <w:pPr>
        <w:pStyle w:val="Normal"/>
        <w:ind w:firstLine="720" w:start="1440" w:end="0"/>
        <w:rPr/>
      </w:pPr>
      <w:r>
        <w:rPr>
          <w:sz w:val="24"/>
          <w:szCs w:val="24"/>
        </w:rPr>
        <w:tab/>
        <w:tab/>
        <w:tab/>
        <w:tab/>
      </w:r>
      <w:r>
        <w:rPr>
          <w:b/>
          <w:bCs/>
          <w:sz w:val="24"/>
          <w:szCs w:val="24"/>
        </w:rPr>
        <w:t>§</w:t>
      </w:r>
      <w:r>
        <w:rPr>
          <w:sz w:val="24"/>
          <w:szCs w:val="24"/>
        </w:rPr>
        <w:tab/>
        <w:tab/>
        <w:t>Docket No. RP01-180</w:t>
      </w:r>
    </w:p>
    <w:p>
      <w:pPr>
        <w:pStyle w:val="Normal"/>
        <w:rPr>
          <w:sz w:val="24"/>
          <w:szCs w:val="24"/>
        </w:rPr>
      </w:pPr>
      <w:r>
        <w:rPr>
          <w:sz w:val="24"/>
          <w:szCs w:val="24"/>
        </w:rPr>
        <w:t xml:space="preserve">The Los Angeles Department of Water </w:t>
        <w:tab/>
        <w:tab/>
      </w:r>
      <w:r>
        <w:rPr>
          <w:b/>
          <w:bCs/>
          <w:sz w:val="24"/>
          <w:szCs w:val="24"/>
        </w:rPr>
        <w:t>§</w:t>
      </w:r>
    </w:p>
    <w:p>
      <w:pPr>
        <w:pStyle w:val="Normal"/>
        <w:rPr/>
      </w:pPr>
      <w:r>
        <w:rPr>
          <w:sz w:val="24"/>
          <w:szCs w:val="24"/>
        </w:rPr>
        <w:t xml:space="preserve">   </w:t>
      </w:r>
      <w:r>
        <w:rPr>
          <w:sz w:val="24"/>
          <w:szCs w:val="24"/>
        </w:rPr>
        <w:t>And Power</w:t>
        <w:tab/>
        <w:tab/>
        <w:tab/>
        <w:tab/>
      </w:r>
      <w:r>
        <w:rPr>
          <w:b/>
          <w:bCs/>
          <w:sz w:val="24"/>
          <w:szCs w:val="24"/>
        </w:rPr>
        <w:tab/>
        <w:tab/>
        <w:t>§</w:t>
        <w:tab/>
        <w:tab/>
      </w:r>
      <w:r>
        <w:rPr>
          <w:sz w:val="24"/>
          <w:szCs w:val="24"/>
        </w:rPr>
        <w:t>Docket No. RP01-222</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ind w:start="4320" w:end="0"/>
        <w:rPr>
          <w:b/>
          <w:bCs/>
          <w:sz w:val="24"/>
          <w:szCs w:val="24"/>
        </w:rPr>
      </w:pPr>
      <w:r>
        <w:rPr>
          <w:b/>
          <w:bCs/>
          <w:sz w:val="24"/>
          <w:szCs w:val="24"/>
        </w:rPr>
      </w:r>
    </w:p>
    <w:p>
      <w:pPr>
        <w:pStyle w:val="Normal"/>
        <w:jc w:val="center"/>
        <w:rPr>
          <w:b/>
          <w:bCs/>
          <w:sz w:val="24"/>
          <w:szCs w:val="24"/>
        </w:rPr>
      </w:pPr>
      <w:r>
        <w:rPr>
          <w:b/>
          <w:bCs/>
          <w:sz w:val="24"/>
          <w:szCs w:val="24"/>
        </w:rPr>
        <w:t>COMMENTS</w:t>
      </w:r>
    </w:p>
    <w:p>
      <w:pPr>
        <w:pStyle w:val="Normal"/>
        <w:jc w:val="center"/>
        <w:rPr>
          <w:b/>
          <w:bCs/>
          <w:sz w:val="24"/>
          <w:szCs w:val="24"/>
          <w:u w:val="single"/>
        </w:rPr>
      </w:pPr>
      <w:r>
        <w:rPr>
          <w:b/>
          <w:bCs/>
          <w:sz w:val="24"/>
          <w:szCs w:val="24"/>
          <w:u w:val="single"/>
        </w:rPr>
        <w:t>OF ENRON INTERSTATE PIPELINES</w:t>
      </w:r>
    </w:p>
    <w:p>
      <w:pPr>
        <w:pStyle w:val="Normal"/>
        <w:jc w:val="center"/>
        <w:rPr>
          <w:b/>
          <w:bCs/>
          <w:sz w:val="24"/>
          <w:szCs w:val="24"/>
          <w:u w:val="single"/>
        </w:rPr>
      </w:pPr>
      <w:r>
        <w:rPr>
          <w:b/>
          <w:bCs/>
          <w:sz w:val="24"/>
          <w:szCs w:val="24"/>
          <w:u w:val="single"/>
        </w:rPr>
      </w:r>
    </w:p>
    <w:p>
      <w:pPr>
        <w:pStyle w:val="BodyText2"/>
        <w:rPr/>
      </w:pPr>
      <w:r>
        <w:rPr>
          <w:b/>
          <w:bCs/>
        </w:rPr>
        <w:tab/>
      </w:r>
      <w:r>
        <w:rPr/>
        <w:t>Pursuant to the Commission’s order requesting comments issued May 22, 2001, the Enron Interstate Pipelines</w:t>
      </w:r>
      <w:r>
        <w:rPr>
          <w:rStyle w:val="FootnoteCharacters"/>
          <w:rStyle w:val="FootnoteReference"/>
        </w:rPr>
        <w:footnoteReference w:id="2"/>
      </w:r>
      <w:r>
        <w:rPr/>
        <w:t xml:space="preserve"> submits its comments on whether the Commission should re-impose the maximum rate ceiling on short-term capacity release transactions into California and what effects may be anticipated on the California gas market </w:t>
      </w:r>
      <w:r>
        <w:rPr>
          <w:rStyle w:val="FootnoteCharacters"/>
          <w:rStyle w:val="FootnoteReference"/>
        </w:rPr>
        <w:footnoteReference w:id="3"/>
      </w:r>
      <w:r>
        <w:rPr/>
        <w:t>. For the reasons set forth below, the Commission should reject any re-imposition of the maximum rate ceiling on short-term capacity release transactions into the California market.</w:t>
      </w:r>
    </w:p>
    <w:p>
      <w:pPr>
        <w:pStyle w:val="BodyText2"/>
        <w:spacing w:lineRule="auto" w:line="240"/>
        <w:rPr/>
      </w:pPr>
      <w:r>
        <w:rPr/>
      </w:r>
    </w:p>
    <w:p>
      <w:pPr>
        <w:pStyle w:val="BodyText2"/>
        <w:spacing w:lineRule="auto" w:line="240"/>
        <w:rPr/>
      </w:pPr>
      <w:r>
        <w:rPr/>
      </w:r>
    </w:p>
    <w:p>
      <w:pPr>
        <w:pStyle w:val="BodyText2"/>
        <w:spacing w:lineRule="auto" w:line="240"/>
        <w:jc w:val="center"/>
        <w:rPr>
          <w:b/>
          <w:bCs/>
        </w:rPr>
      </w:pPr>
      <w:r>
        <w:rPr>
          <w:b/>
          <w:bCs/>
        </w:rPr>
        <w:t xml:space="preserve">I.  </w:t>
      </w:r>
    </w:p>
    <w:p>
      <w:pPr>
        <w:pStyle w:val="BodyText2"/>
        <w:spacing w:lineRule="auto" w:line="240"/>
        <w:jc w:val="center"/>
        <w:rPr>
          <w:b/>
          <w:bCs/>
          <w:u w:val="single"/>
        </w:rPr>
      </w:pPr>
      <w:r>
        <w:rPr>
          <w:b/>
          <w:bCs/>
          <w:u w:val="single"/>
        </w:rPr>
        <w:t>SUMMARY</w:t>
      </w:r>
    </w:p>
    <w:p>
      <w:pPr>
        <w:pStyle w:val="BodyText2"/>
        <w:spacing w:lineRule="auto" w:line="240"/>
        <w:jc w:val="center"/>
        <w:rPr>
          <w:b/>
          <w:bCs/>
          <w:u w:val="single"/>
        </w:rPr>
      </w:pPr>
      <w:r>
        <w:rPr>
          <w:b/>
          <w:bCs/>
          <w:u w:val="single"/>
        </w:rPr>
      </w:r>
    </w:p>
    <w:p>
      <w:pPr>
        <w:pStyle w:val="BodyText2"/>
        <w:spacing w:lineRule="auto" w:line="240"/>
        <w:jc w:val="center"/>
        <w:rPr>
          <w:b/>
          <w:bCs/>
          <w:u w:val="single"/>
        </w:rPr>
      </w:pPr>
      <w:r>
        <w:rPr>
          <w:b/>
          <w:bCs/>
          <w:u w:val="single"/>
        </w:rPr>
      </w:r>
    </w:p>
    <w:p>
      <w:pPr>
        <w:pStyle w:val="BodyText2"/>
        <w:rPr/>
      </w:pPr>
      <w:r>
        <w:rPr/>
        <w:tab/>
        <w:t xml:space="preserve">On December 7, 2000, in Docket No. RP01-180-000, San Diego Gas and Electric (SDG&amp;E) filed a petition for emergency relief requesting that the Commission re-impose the price cap for short-term releases of capacity for service to the California border and to other points of interconnection. SDG&amp;E contends that the high prices of gas delivered to the California border is evidence that sellers were charging above the interstate pipeline’s maximum tariff rate for released capacity transactions. SDG&amp;E states that the spot price at the border of $50 per MMBtu for November and December 2000 is evidence of the significant distortion, which needs to be addressed by the Commission. </w:t>
      </w:r>
    </w:p>
    <w:p>
      <w:pPr>
        <w:pStyle w:val="BodyText2"/>
        <w:spacing w:lineRule="auto" w:line="240"/>
        <w:rPr/>
      </w:pPr>
      <w:r>
        <w:rPr/>
        <w:t xml:space="preserve"> </w:t>
      </w:r>
    </w:p>
    <w:p>
      <w:pPr>
        <w:pStyle w:val="BodyText2"/>
        <w:spacing w:lineRule="auto" w:line="240"/>
        <w:jc w:val="center"/>
        <w:rPr>
          <w:b/>
          <w:bCs/>
        </w:rPr>
      </w:pPr>
      <w:r>
        <w:rPr>
          <w:b/>
          <w:bCs/>
        </w:rPr>
        <w:t>II.</w:t>
      </w:r>
    </w:p>
    <w:p>
      <w:pPr>
        <w:pStyle w:val="BodyText2"/>
        <w:jc w:val="center"/>
        <w:rPr>
          <w:b/>
          <w:bCs/>
        </w:rPr>
      </w:pPr>
      <w:r>
        <w:rPr>
          <w:b/>
          <w:bCs/>
        </w:rPr>
        <w:t>COMMENTS</w:t>
      </w:r>
    </w:p>
    <w:p>
      <w:pPr>
        <w:pStyle w:val="WW-BodyText21"/>
        <w:rPr/>
      </w:pPr>
      <w:r>
        <w:rPr/>
        <w:t>The Commission should reject any request to re-impose a maximum ceiling price on short-term released capacity.   The Commission’s rationale for waiving the maximum rate ceiling for short-term capacity release in Order No. 637 was correct when published and it remains correct today.  Nothing has changed that was not anticipated by the Commission in that order and/or undercuts the need and justification for this short-term program to gather crucial information on the effects of removing the rate cap on short-term released capacity.</w:t>
      </w:r>
    </w:p>
    <w:p>
      <w:pPr>
        <w:pStyle w:val="Normal"/>
        <w:spacing w:lineRule="auto" w:line="480"/>
        <w:ind w:firstLine="720" w:end="0"/>
        <w:rPr>
          <w:sz w:val="24"/>
          <w:szCs w:val="24"/>
        </w:rPr>
      </w:pPr>
      <w:r>
        <w:rPr>
          <w:sz w:val="24"/>
          <w:szCs w:val="24"/>
        </w:rPr>
        <w:t>In Order No. 637, the Commission approved the regulations to waive the maximum rate ceiling for capacity release until September 30, 2002.  As the Commission recognized there, removal of the rate cap on short-term capacity release  “does not significantly reduce the protection of shippers’ buying short-term transportation” for two reasons:</w:t>
      </w:r>
    </w:p>
    <w:p>
      <w:pPr>
        <w:pStyle w:val="Normal"/>
        <w:rPr/>
      </w:pPr>
      <w:r>
        <w:rPr/>
      </w:r>
    </w:p>
    <w:p>
      <w:pPr>
        <w:pStyle w:val="PlainText"/>
        <w:ind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First, the capacity release rate cap is largely ineffective in protecting short-term capacity purchasers in today's market since shippers can make bundled sales to evade the cap.  Thus, removal of the rate cap will not provide releasing shippers with significant additional pricing freedom.  Instead, it will improve the market for buyers by giving them an additional capacity option from which to choose.  Second, the fact that prices for transportation rise during peak periods is not evidence of the exercise of market power, but may be the appropriate market response to an increase in demand for capacity. (p.82-83)</w:t>
      </w:r>
    </w:p>
    <w:p>
      <w:pPr>
        <w:pStyle w:val="PlainText"/>
        <w:ind w:start="720" w:end="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PlainText"/>
        <w:ind w:start="720" w:end="0"/>
        <w:rPr>
          <w:sz w:val="24"/>
          <w:szCs w:val="24"/>
        </w:rPr>
      </w:pPr>
      <w:r>
        <w:rPr>
          <w:sz w:val="24"/>
          <w:szCs w:val="24"/>
        </w:rPr>
      </w:r>
    </w:p>
    <w:p>
      <w:pPr>
        <w:pStyle w:val="PlainText"/>
        <w:spacing w:lineRule="auto" w:line="480"/>
        <w:ind w:firstLine="720" w:end="0"/>
        <w:rPr>
          <w:rFonts w:ascii="Times New Roman" w:hAnsi="Times New Roman" w:eastAsia="Times New Roman" w:cs="Times New Roman"/>
          <w:sz w:val="24"/>
          <w:szCs w:val="24"/>
        </w:rPr>
      </w:pPr>
      <w:r>
        <w:rPr>
          <w:rFonts w:eastAsia="Times New Roman" w:cs="Times New Roman" w:ascii="Times New Roman" w:hAnsi="Times New Roman"/>
          <w:sz w:val="24"/>
          <w:szCs w:val="24"/>
        </w:rPr>
        <w:t>The Commission properly concluded that any market power abuse could be discerned and redressed through “improved reporting requirements together with the Commission’s revised complaint process.”  The Commission accurately concluded that:</w:t>
      </w:r>
    </w:p>
    <w:p>
      <w:pPr>
        <w:pStyle w:val="PlainTex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PlainText"/>
        <w:ind w:start="720" w:end="0"/>
        <w:rPr>
          <w:sz w:val="24"/>
          <w:szCs w:val="24"/>
        </w:rPr>
      </w:pPr>
      <w:r>
        <w:rPr>
          <w:rFonts w:eastAsia="Times New Roman" w:cs="Times New Roman" w:ascii="Times New Roman" w:hAnsi="Times New Roman"/>
          <w:sz w:val="24"/>
          <w:szCs w:val="24"/>
        </w:rPr>
        <w:t>The possibility of abuse in specific circumstances, which can be addressed on an individual basis, should not preclude the Commission from adopting a policy that benefits the industry as a whole by enhancing customer options and improving market place efficiency. (p.94)</w:t>
      </w:r>
    </w:p>
    <w:p>
      <w:pPr>
        <w:pStyle w:val="PlainText"/>
        <w:ind w:start="720" w:end="0"/>
        <w:rPr>
          <w:sz w:val="24"/>
          <w:szCs w:val="24"/>
        </w:rPr>
      </w:pPr>
      <w:r>
        <w:rPr>
          <w:sz w:val="24"/>
          <w:szCs w:val="24"/>
        </w:rPr>
      </w:r>
    </w:p>
    <w:p>
      <w:pPr>
        <w:pStyle w:val="PlainText"/>
        <w:rPr>
          <w:sz w:val="24"/>
          <w:szCs w:val="24"/>
        </w:rPr>
      </w:pPr>
      <w:r>
        <w:rPr>
          <w:sz w:val="24"/>
          <w:szCs w:val="24"/>
        </w:rPr>
      </w:r>
    </w:p>
    <w:p>
      <w:pPr>
        <w:pStyle w:val="WW-BodyText21"/>
        <w:rPr/>
      </w:pPr>
      <w:r>
        <w:rPr/>
        <w:t>In fact, the Commission anticipated that, in those times when demand exceeds supply, this mechanism would raise prices to allocate capacity appropriately and to signal the need for new pipeline construction.  The Commission found that:</w:t>
      </w:r>
    </w:p>
    <w:p>
      <w:pPr>
        <w:pStyle w:val="BodyTextIndent2"/>
        <w:rPr/>
      </w:pPr>
      <w:r>
        <w:rPr/>
        <w:t>high prices during peak demand periods can be a function of supply and demand forces that raise prices to allocate capacity during peak periods.  As long as capacity is not being withheld from the market and no discrimination is taking place, the high prices are a reasonable and necessary competitive response to market conditions to allocate capacity to those needing it the most.  Indeed, as shown by the period of rate regulation of wellhead prices, maintenance of regulated prices can distort the market by upsetting the balance between supply and demand. (p.95)</w:t>
      </w:r>
    </w:p>
    <w:p>
      <w:pPr>
        <w:pStyle w:val="Normal"/>
        <w:ind w:start="720" w:end="0"/>
        <w:rPr/>
      </w:pPr>
      <w:r>
        <w:rPr/>
      </w:r>
    </w:p>
    <w:p>
      <w:pPr>
        <w:pStyle w:val="Normal"/>
        <w:spacing w:lineRule="auto" w:line="480"/>
        <w:ind w:firstLine="360" w:end="0"/>
        <w:rPr/>
      </w:pPr>
      <w:r>
        <w:rPr/>
        <w:t xml:space="preserve">  </w:t>
      </w:r>
      <w:r>
        <w:rPr>
          <w:sz w:val="24"/>
          <w:szCs w:val="24"/>
        </w:rPr>
        <w:t xml:space="preserve">The Commission’s findings were valid then and remain valid today, and numerous pipeline expansions are proposed and/or being built into California in response to these prices.  Moreover, the effect on delivered natural gas prices into California from re-imposing the maximum rate ceiling for short-term capacity release transactions will be negligible, if any, as explained in response to the questions below.   </w:t>
      </w:r>
      <w:r>
        <w:br w:type="page"/>
      </w:r>
    </w:p>
    <w:p>
      <w:pPr>
        <w:pStyle w:val="BodyText2"/>
        <w:spacing w:lineRule="auto" w:line="240"/>
        <w:jc w:val="center"/>
        <w:rPr>
          <w:b/>
          <w:bCs/>
          <w:sz w:val="24"/>
          <w:szCs w:val="24"/>
        </w:rPr>
      </w:pPr>
      <w:r>
        <w:rPr>
          <w:b/>
          <w:bCs/>
          <w:sz w:val="24"/>
          <w:szCs w:val="24"/>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Would re-imposition of the maximum rate ceiling on short-term capacity release transactions into California have any significant effect on the price of gas at the California border?</w:t>
      </w:r>
    </w:p>
    <w:p>
      <w:pPr>
        <w:pStyle w:val="BodyText2"/>
        <w:numPr>
          <w:ilvl w:val="0"/>
          <w:numId w:val="0"/>
        </w:numPr>
        <w:ind w:hanging="0" w:start="0"/>
        <w:rPr>
          <w:b/>
          <w:bCs/>
        </w:rPr>
      </w:pPr>
      <w:r>
        <w:rPr>
          <w:b/>
          <w:bCs/>
        </w:rPr>
      </w:r>
    </w:p>
    <w:p>
      <w:pPr>
        <w:pStyle w:val="BodyText2"/>
        <w:numPr>
          <w:ilvl w:val="0"/>
          <w:numId w:val="0"/>
        </w:numPr>
        <w:ind w:hanging="0" w:start="0" w:end="0"/>
        <w:rPr/>
      </w:pPr>
      <w:r>
        <w:rPr>
          <w:b/>
          <w:bCs/>
        </w:rPr>
        <w:t xml:space="preserve">  </w:t>
      </w:r>
      <w:r>
        <w:rPr/>
        <w:t>Re-imposing maximum rate ceilings on short-term capacity release transactions will not have any significant effect on the price of gas at the California border for two distinct but important reasons.  First, re-imposition of the maximum rate ceiling will be ineffective in reducing the price of natural gas sold at the California border as a bundled product.  Capping one component of a bundled product only results in the shipper raising the price associated with any portion of the delivered product that is not capped.  Second, the number of short-term capacity release transactions for rates above the maximum rate ceiling is minimal when compared to the entire market into California.</w:t>
      </w:r>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Should the re-imposition of the maximum rate ceiling on short-term capacity release transactions be limited to California or extended to pipelines delivering into the Western Systems Coordinating Council (WSCC) region?</w:t>
      </w:r>
    </w:p>
    <w:p>
      <w:pPr>
        <w:pStyle w:val="BodyText2"/>
        <w:numPr>
          <w:ilvl w:val="0"/>
          <w:numId w:val="0"/>
        </w:numPr>
        <w:spacing w:lineRule="auto" w:line="240"/>
        <w:ind w:hanging="0" w:start="0"/>
        <w:rPr>
          <w:b/>
          <w:bCs/>
        </w:rPr>
      </w:pPr>
      <w:r>
        <w:rPr>
          <w:b/>
          <w:bCs/>
        </w:rPr>
      </w:r>
    </w:p>
    <w:p>
      <w:pPr>
        <w:pStyle w:val="BodyText2"/>
        <w:numPr>
          <w:ilvl w:val="0"/>
          <w:numId w:val="0"/>
        </w:numPr>
        <w:ind w:hanging="0" w:start="0" w:end="0"/>
        <w:rPr>
          <w:b/>
          <w:bCs/>
        </w:rPr>
      </w:pPr>
      <w:r>
        <w:rPr/>
        <w:t xml:space="preserve">  </w:t>
      </w:r>
      <w:r>
        <w:rPr/>
        <w:t>Although re-imposition of the rate ceiling is unnecessary for the reasons discussed above, any decision to re-impose a rate ceiling should be limited to any area of potential concern, such as California.  If the Commission nevertheless determines to re-impose the rate ceiling, California is the logical area of demarcation based on the increased differential between the basin price of natural gas deliverable to California and the price of natural gas at the border of California.  Attempts to extend the limitation beyond California will potentially distort natural gas prices throughout the Nation, because the transportation grid for natural gas is not restricted in the same manner as the electric transmission grid in the United States.  Unlike the natural gas transportation grid, the electric transmission grid within the WSCC is a stand-alone interconnection and, thus, is divided from the transmission grid serving the eastern part of the United States.</w:t>
      </w:r>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What effect do capacity release transactions have on wholesale electric prices?</w:t>
      </w:r>
    </w:p>
    <w:p>
      <w:pPr>
        <w:pStyle w:val="BodyText2"/>
        <w:numPr>
          <w:ilvl w:val="0"/>
          <w:numId w:val="0"/>
        </w:numPr>
        <w:spacing w:lineRule="auto" w:line="240"/>
        <w:ind w:hanging="0" w:start="0"/>
        <w:rPr>
          <w:b/>
          <w:bCs/>
        </w:rPr>
      </w:pPr>
      <w:r>
        <w:rPr>
          <w:b/>
          <w:bCs/>
        </w:rPr>
      </w:r>
    </w:p>
    <w:p>
      <w:pPr>
        <w:pStyle w:val="BodyText2"/>
        <w:numPr>
          <w:ilvl w:val="0"/>
          <w:numId w:val="0"/>
        </w:numPr>
        <w:ind w:hanging="0" w:start="0" w:end="0"/>
        <w:rPr/>
      </w:pPr>
      <w:r>
        <w:rPr/>
        <w:t xml:space="preserve">    </w:t>
      </w:r>
      <w:r>
        <w:rPr/>
        <w:t>Capacity release transactions have little effect on wholesale natural gas prices in general, because the cost of transportation does not determine the price parties are willing to pay for natural gas in a competitive market.  That price is determined by supply and demand for natural gas and not the underlying cost of purchasing and delivering that commodity.  Moreover, as demonstrated by the Commission Staff’s analysis, the limited number of capacity release transactions into California above maximum rates had little effect on wholesale natural gas prices in California.  Since these released transactions have very little, if any, effect on the price of natural gas, in general, it is not likely that those prices had any effect on the increased wholesale electric prices.</w:t>
      </w:r>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 xml:space="preserve">What would be the effect of re-imposing the maximum rate ceiling on short-term capacity release transactions into California given firm shippers’ ability to make bundled sales at the California border? </w:t>
      </w:r>
    </w:p>
    <w:p>
      <w:pPr>
        <w:pStyle w:val="BodyText2"/>
        <w:numPr>
          <w:ilvl w:val="0"/>
          <w:numId w:val="0"/>
        </w:numPr>
        <w:spacing w:lineRule="auto" w:line="240"/>
        <w:ind w:hanging="0" w:start="0"/>
        <w:rPr>
          <w:b/>
          <w:bCs/>
        </w:rPr>
      </w:pPr>
      <w:r>
        <w:rPr>
          <w:b/>
          <w:bCs/>
        </w:rPr>
      </w:r>
    </w:p>
    <w:p>
      <w:pPr>
        <w:pStyle w:val="BodyText2"/>
        <w:numPr>
          <w:ilvl w:val="0"/>
          <w:numId w:val="0"/>
        </w:numPr>
        <w:ind w:hanging="0" w:start="0" w:end="0"/>
        <w:rPr>
          <w:b/>
          <w:bCs/>
        </w:rPr>
      </w:pPr>
      <w:r>
        <w:rPr/>
        <w:t xml:space="preserve">  </w:t>
      </w:r>
      <w:r>
        <w:rPr/>
        <w:t xml:space="preserve">As explained in response to question number one, the effect on natural gas prices at the California border would be negligible given the shipper’s ability to charge a bundled price for delivered natural gas.  As a result, re-imposing the maximum rate ceiling on short-term capacity release transactions will likely reduce the number of released transactions and increase the number of bundle transactions, since holders of capacity are likely to generate more revenue (with accompanying profits) through bundled sales.   </w:t>
      </w:r>
      <w:r>
        <w:br w:type="page"/>
      </w:r>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360" w:start="1080" w:end="0"/>
        <w:rPr>
          <w:b/>
          <w:bCs/>
        </w:rPr>
      </w:pPr>
      <w:r>
        <w:rPr>
          <w:b/>
          <w:bCs/>
        </w:rPr>
        <w:t>How will re-imposing the maximum rate ceiling for short-term capacity release transactions into California impact shippers’ ability to obtain short-term firm capacity?</w:t>
      </w:r>
    </w:p>
    <w:p>
      <w:pPr>
        <w:pStyle w:val="BodyText2"/>
        <w:spacing w:lineRule="auto" w:line="240"/>
        <w:rPr>
          <w:b/>
          <w:bCs/>
        </w:rPr>
      </w:pPr>
      <w:r>
        <w:rPr>
          <w:b/>
          <w:bCs/>
        </w:rPr>
      </w:r>
    </w:p>
    <w:p>
      <w:pPr>
        <w:pStyle w:val="BodyText2"/>
        <w:ind w:firstLine="360" w:end="0"/>
        <w:rPr/>
      </w:pPr>
      <w:r>
        <w:rPr/>
        <w:t xml:space="preserve">  </w:t>
      </w:r>
      <w:r>
        <w:rPr/>
        <w:t>The re-imposition of the maximum rate ceiling for short-term capacity release transactions into California will reduce the availability of released firm capacity and the Commission’s current oversight of the California market, because holders of that capacity are likely to generate more revenue (with accompanying profits) through bundled sales.</w:t>
      </w:r>
    </w:p>
    <w:p>
      <w:pPr>
        <w:pStyle w:val="BodyText2"/>
        <w:spacing w:lineRule="auto" w:line="240"/>
        <w:jc w:val="center"/>
        <w:rPr>
          <w:b/>
          <w:bCs/>
        </w:rPr>
      </w:pPr>
      <w:r>
        <w:rPr>
          <w:b/>
          <w:bCs/>
        </w:rPr>
      </w:r>
    </w:p>
    <w:p>
      <w:pPr>
        <w:pStyle w:val="BodyText2"/>
        <w:spacing w:lineRule="auto" w:line="240"/>
        <w:jc w:val="center"/>
        <w:rPr>
          <w:b/>
          <w:bCs/>
        </w:rPr>
      </w:pPr>
      <w:r>
        <w:rPr>
          <w:b/>
          <w:bCs/>
        </w:rPr>
        <w:t>III.</w:t>
      </w:r>
    </w:p>
    <w:p>
      <w:pPr>
        <w:pStyle w:val="BodyText2"/>
        <w:spacing w:lineRule="auto" w:line="240"/>
        <w:jc w:val="center"/>
        <w:rPr>
          <w:b/>
          <w:bCs/>
        </w:rPr>
      </w:pPr>
      <w:r>
        <w:rPr>
          <w:b/>
          <w:bCs/>
        </w:rPr>
        <w:t>CONCLUSION</w:t>
      </w:r>
    </w:p>
    <w:p>
      <w:pPr>
        <w:pStyle w:val="BodyText2"/>
        <w:jc w:val="center"/>
        <w:rPr>
          <w:b/>
          <w:bCs/>
        </w:rPr>
      </w:pPr>
      <w:r>
        <w:rPr>
          <w:b/>
          <w:bCs/>
        </w:rPr>
      </w:r>
    </w:p>
    <w:p>
      <w:pPr>
        <w:pStyle w:val="BodyText2"/>
        <w:ind w:firstLine="720" w:end="0"/>
        <w:rPr>
          <w:b/>
          <w:bCs/>
        </w:rPr>
      </w:pPr>
      <w:r>
        <w:rPr/>
        <w:t xml:space="preserve">The Commission’s reasons for promulgating the waiver of the maximum rate ceiling for short-term capacity release remain valid and compelling.  Whatever the various causes are for the increased price of natural gas at the California border, rates charged for released capacity to transport natural gas to the California border were not and are not one of those causes.    The cost of released capacity to transport natural gas to the California border does </w:t>
      </w:r>
      <w:r>
        <w:rPr>
          <w:u w:val="single"/>
        </w:rPr>
        <w:t>not</w:t>
      </w:r>
      <w:r>
        <w:rPr/>
        <w:t xml:space="preserve"> determine or affect the </w:t>
      </w:r>
      <w:r>
        <w:rPr>
          <w:u w:val="single"/>
        </w:rPr>
        <w:t>delivered</w:t>
      </w:r>
      <w:r>
        <w:rPr/>
        <w:t xml:space="preserve"> cost of natural gas at that border.  Moreover, the amounts collected by shippers in excess of the maximum ceiling rate have been deminimus relative to the amounts paid for natural gas delivered to California.  As a result, SDG&amp;E’s request is unsupported and unsupportable and should be rejected.  The Commission should refrain from removing the waiver until September 30, 2002, to complete this program and gain the valuable information necessary to fully evaluate it appropriately.</w:t>
      </w:r>
    </w:p>
    <w:p>
      <w:pPr>
        <w:pStyle w:val="BodyText2"/>
        <w:rPr>
          <w:b/>
          <w:bCs/>
        </w:rPr>
      </w:pPr>
      <w:r>
        <w:rPr>
          <w:b/>
          <w:bCs/>
        </w:rPr>
      </w:r>
    </w:p>
    <w:p>
      <w:pPr>
        <w:pStyle w:val="BodyText2"/>
        <w:jc w:val="center"/>
        <w:rPr>
          <w:b/>
          <w:bCs/>
        </w:rPr>
      </w:pPr>
      <w:r>
        <w:rPr>
          <w:b/>
          <w:bCs/>
        </w:rPr>
      </w:r>
    </w:p>
    <w:p>
      <w:pPr>
        <w:pStyle w:val="Normal"/>
        <w:spacing w:lineRule="exact" w:line="240"/>
        <w:ind w:start="3150" w:end="0"/>
        <w:rPr>
          <w:b/>
          <w:bCs/>
          <w:sz w:val="24"/>
          <w:szCs w:val="24"/>
        </w:rPr>
      </w:pPr>
      <w:r>
        <w:rPr>
          <w:b/>
          <w:bCs/>
          <w:sz w:val="24"/>
          <w:szCs w:val="24"/>
        </w:rPr>
      </w:r>
    </w:p>
    <w:p>
      <w:pPr>
        <w:pStyle w:val="Normal"/>
        <w:tabs>
          <w:tab w:val="clear" w:pos="720"/>
          <w:tab w:val="left" w:pos="-720" w:leader="none"/>
          <w:tab w:val="left" w:pos="324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 w:val="left" w:pos="3240" w:leader="none"/>
        </w:tabs>
        <w:suppressAutoHyphens w:val="true"/>
        <w:jc w:val="both"/>
        <w:rPr/>
      </w:pPr>
      <w:r>
        <w:rPr>
          <w:spacing w:val="-3"/>
        </w:rPr>
        <w:tab/>
      </w:r>
      <w:r>
        <w:rPr>
          <w:spacing w:val="-3"/>
          <w:sz w:val="24"/>
          <w:szCs w:val="24"/>
        </w:rPr>
        <w:t>Respectfully submitted,</w:t>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rPr>
      </w:pPr>
      <w:r>
        <w:rPr>
          <w:spacing w:val="-3"/>
        </w:rPr>
        <w:tab/>
        <w:t>_____________________________________</w:t>
      </w:r>
    </w:p>
    <w:p>
      <w:pPr>
        <w:pStyle w:val="Normal"/>
        <w:tabs>
          <w:tab w:val="clear" w:pos="720"/>
          <w:tab w:val="left" w:pos="3240" w:leader="none"/>
        </w:tabs>
        <w:ind w:start="3240" w:end="0"/>
        <w:rPr>
          <w:sz w:val="24"/>
          <w:szCs w:val="24"/>
        </w:rPr>
      </w:pPr>
      <w:r>
        <w:rPr>
          <w:sz w:val="24"/>
          <w:szCs w:val="24"/>
        </w:rPr>
        <w:t>Joseph R. Hartsoe</w:t>
      </w:r>
    </w:p>
    <w:p>
      <w:pPr>
        <w:pStyle w:val="Normal"/>
        <w:tabs>
          <w:tab w:val="clear" w:pos="720"/>
          <w:tab w:val="left" w:pos="3240" w:leader="none"/>
        </w:tabs>
        <w:ind w:start="3240" w:end="0"/>
        <w:rPr>
          <w:sz w:val="24"/>
          <w:szCs w:val="24"/>
        </w:rPr>
      </w:pPr>
      <w:r>
        <w:rPr>
          <w:sz w:val="24"/>
          <w:szCs w:val="24"/>
        </w:rPr>
        <w:t>Vice President, Regulatory and Legislative Affairs</w:t>
      </w:r>
    </w:p>
    <w:p>
      <w:pPr>
        <w:pStyle w:val="Normal"/>
        <w:tabs>
          <w:tab w:val="clear" w:pos="720"/>
          <w:tab w:val="left" w:pos="3240" w:leader="none"/>
        </w:tabs>
        <w:ind w:start="3240" w:end="0"/>
        <w:rPr>
          <w:sz w:val="24"/>
          <w:szCs w:val="24"/>
        </w:rPr>
      </w:pPr>
      <w:r>
        <w:rPr>
          <w:sz w:val="24"/>
          <w:szCs w:val="24"/>
        </w:rPr>
        <w:t>Enron Transportation Services Company</w:t>
      </w:r>
    </w:p>
    <w:p>
      <w:pPr>
        <w:pStyle w:val="Normal"/>
        <w:tabs>
          <w:tab w:val="clear" w:pos="720"/>
          <w:tab w:val="left" w:pos="3240" w:leader="none"/>
        </w:tabs>
        <w:ind w:start="3240" w:end="0"/>
        <w:rPr>
          <w:sz w:val="24"/>
          <w:szCs w:val="24"/>
        </w:rPr>
      </w:pPr>
      <w:r>
        <w:rPr>
          <w:sz w:val="24"/>
          <w:szCs w:val="24"/>
        </w:rPr>
        <w:t>1775 Eye Street, N.W. Suite 800</w:t>
      </w:r>
    </w:p>
    <w:p>
      <w:pPr>
        <w:pStyle w:val="Normal"/>
        <w:tabs>
          <w:tab w:val="clear" w:pos="720"/>
          <w:tab w:val="left" w:pos="3240" w:leader="none"/>
        </w:tabs>
        <w:ind w:start="3240" w:end="0"/>
        <w:rPr>
          <w:sz w:val="24"/>
          <w:szCs w:val="24"/>
        </w:rPr>
      </w:pPr>
      <w:r>
        <w:rPr>
          <w:sz w:val="24"/>
          <w:szCs w:val="24"/>
        </w:rPr>
        <w:t>Washington, D.C. 20006</w:t>
      </w:r>
    </w:p>
    <w:p>
      <w:pPr>
        <w:pStyle w:val="Normal"/>
        <w:tabs>
          <w:tab w:val="clear" w:pos="720"/>
          <w:tab w:val="left" w:pos="3240" w:leader="none"/>
        </w:tabs>
        <w:ind w:start="3240" w:end="0"/>
        <w:rPr>
          <w:sz w:val="24"/>
          <w:szCs w:val="24"/>
        </w:rPr>
      </w:pPr>
      <w:r>
        <w:rPr>
          <w:sz w:val="24"/>
          <w:szCs w:val="24"/>
        </w:rPr>
        <w:t>Phone:  (202) 466-9150</w:t>
      </w:r>
    </w:p>
    <w:p>
      <w:pPr>
        <w:pStyle w:val="Normal"/>
        <w:tabs>
          <w:tab w:val="clear" w:pos="720"/>
          <w:tab w:val="left" w:pos="3240" w:leader="none"/>
        </w:tabs>
        <w:ind w:start="3240" w:end="0"/>
        <w:rPr>
          <w:sz w:val="24"/>
          <w:szCs w:val="24"/>
        </w:rPr>
      </w:pPr>
      <w:r>
        <w:rPr>
          <w:sz w:val="24"/>
          <w:szCs w:val="24"/>
        </w:rPr>
        <w:t xml:space="preserve">Email: </w:t>
      </w:r>
      <w:r>
        <w:rPr>
          <w:rStyle w:val="Hyperlink"/>
          <w:sz w:val="24"/>
          <w:szCs w:val="24"/>
        </w:rPr>
        <w:t>joe.hartsoe@enron.com</w:t>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3240" w:leader="none"/>
        </w:tabs>
        <w:ind w:start="3240" w:end="0"/>
        <w:rPr>
          <w:sz w:val="24"/>
          <w:szCs w:val="24"/>
        </w:rPr>
      </w:pPr>
      <w:r>
        <w:rPr>
          <w:sz w:val="24"/>
          <w:szCs w:val="24"/>
        </w:rPr>
        <w:t>For the Enron Interstate Pipelines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sz w:val="24"/>
          <w:szCs w:val="24"/>
        </w:rPr>
        <w:t>Dated this 11</w:t>
      </w:r>
      <w:r>
        <w:rPr>
          <w:spacing w:val="-3"/>
          <w:sz w:val="24"/>
          <w:szCs w:val="24"/>
          <w:vertAlign w:val="superscript"/>
        </w:rPr>
        <w:t>th</w:t>
      </w:r>
      <w:r>
        <w:rPr>
          <w:spacing w:val="-3"/>
          <w:sz w:val="24"/>
          <w:szCs w:val="24"/>
        </w:rPr>
        <w:t xml:space="preserve"> day of June 2001.</w:t>
      </w:r>
      <w:r>
        <w:br w:type="page"/>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Heading2"/>
        <w:ind w:hanging="0" w:start="0"/>
        <w:rPr/>
      </w:pPr>
      <w:r>
        <w:rPr/>
        <w:t>CERTIFICATE OF SERVICE</w:t>
      </w:r>
    </w:p>
    <w:p>
      <w:pPr>
        <w:pStyle w:val="Normal"/>
        <w:suppressAutoHyphens w:val="true"/>
        <w:jc w:val="center"/>
        <w:rPr>
          <w:spacing w:val="-3"/>
        </w:rPr>
      </w:pPr>
      <w:r>
        <w:rPr>
          <w:spacing w:val="-3"/>
        </w:rPr>
      </w:r>
    </w:p>
    <w:p>
      <w:pPr>
        <w:pStyle w:val="Normal"/>
        <w:suppressAutoHyphens w:val="true"/>
        <w:rPr>
          <w:spacing w:val="-3"/>
        </w:rPr>
      </w:pPr>
      <w:r>
        <w:rPr>
          <w:spacing w:val="-3"/>
        </w:rPr>
      </w:r>
    </w:p>
    <w:p>
      <w:pPr>
        <w:pStyle w:val="Normal"/>
        <w:suppressAutoHyphens w:val="true"/>
        <w:spacing w:lineRule="auto" w:line="480"/>
        <w:rPr/>
      </w:pPr>
      <w:r>
        <w:rPr>
          <w:spacing w:val="-3"/>
        </w:rPr>
        <w:tab/>
      </w:r>
      <w:r>
        <w:rPr>
          <w:spacing w:val="-3"/>
          <w:sz w:val="24"/>
          <w:szCs w:val="24"/>
        </w:rPr>
        <w:t xml:space="preserve">I hereby certify that I have this day served the foregoing document by mail upon each person designated on the official service list compiled by the Secretary in this proceeding. </w:t>
      </w:r>
    </w:p>
    <w:p>
      <w:pPr>
        <w:pStyle w:val="Normal"/>
        <w:suppressAutoHyphens w:val="true"/>
        <w:spacing w:lineRule="auto" w:line="480"/>
        <w:rPr/>
      </w:pPr>
      <w:r>
        <w:rPr>
          <w:spacing w:val="-3"/>
          <w:sz w:val="24"/>
          <w:szCs w:val="24"/>
        </w:rPr>
        <w:tab/>
        <w:t>Dated at Washington, D.C. this 11</w:t>
      </w:r>
      <w:r>
        <w:rPr>
          <w:spacing w:val="-3"/>
          <w:sz w:val="24"/>
          <w:szCs w:val="24"/>
          <w:vertAlign w:val="superscript"/>
        </w:rPr>
        <w:t>th</w:t>
      </w:r>
      <w:r>
        <w:rPr>
          <w:spacing w:val="-3"/>
          <w:sz w:val="24"/>
          <w:szCs w:val="24"/>
        </w:rPr>
        <w:t xml:space="preserve"> day of June 2001.</w:t>
      </w:r>
    </w:p>
    <w:p>
      <w:pPr>
        <w:pStyle w:val="Normal"/>
        <w:suppressAutoHyphens w:val="true"/>
        <w:rPr>
          <w:spacing w:val="-3"/>
          <w:sz w:val="24"/>
          <w:szCs w:val="24"/>
        </w:rPr>
      </w:pPr>
      <w:r>
        <w:rPr>
          <w:spacing w:val="-3"/>
          <w:sz w:val="24"/>
          <w:szCs w:val="24"/>
        </w:rPr>
      </w:r>
    </w:p>
    <w:p>
      <w:pPr>
        <w:pStyle w:val="Normal"/>
        <w:suppressAutoHyphens w:val="true"/>
        <w:rPr>
          <w:spacing w:val="-3"/>
          <w:sz w:val="24"/>
          <w:szCs w:val="24"/>
        </w:rPr>
      </w:pPr>
      <w:r>
        <w:rPr>
          <w:spacing w:val="-3"/>
          <w:sz w:val="24"/>
          <w:szCs w:val="24"/>
        </w:rPr>
      </w:r>
    </w:p>
    <w:p>
      <w:pPr>
        <w:pStyle w:val="Normal"/>
        <w:suppressAutoHyphens w:val="true"/>
        <w:rPr>
          <w:spacing w:val="-3"/>
          <w:sz w:val="24"/>
          <w:szCs w:val="24"/>
        </w:rPr>
      </w:pPr>
      <w:r>
        <w:rPr>
          <w:spacing w:val="-3"/>
          <w:sz w:val="24"/>
          <w:szCs w:val="24"/>
        </w:rPr>
      </w:r>
    </w:p>
    <w:p>
      <w:pPr>
        <w:pStyle w:val="Normal"/>
        <w:suppressAutoHyphens w:val="true"/>
        <w:rPr>
          <w:spacing w:val="-3"/>
          <w:sz w:val="24"/>
          <w:szCs w:val="24"/>
        </w:rPr>
      </w:pPr>
      <w:r>
        <w:rPr>
          <w:spacing w:val="-3"/>
          <w:sz w:val="24"/>
          <w:szCs w:val="24"/>
        </w:rPr>
      </w:r>
    </w:p>
    <w:p>
      <w:pPr>
        <w:pStyle w:val="Normal"/>
        <w:suppressAutoHyphens w:val="true"/>
        <w:ind w:start="5040" w:end="0"/>
        <w:rPr>
          <w:spacing w:val="-3"/>
          <w:sz w:val="24"/>
          <w:szCs w:val="24"/>
        </w:rPr>
      </w:pPr>
      <w:r>
        <w:rPr>
          <w:spacing w:val="-3"/>
          <w:sz w:val="24"/>
          <w:szCs w:val="24"/>
        </w:rPr>
        <w:t>______________________</w:t>
      </w:r>
    </w:p>
    <w:p>
      <w:pPr>
        <w:pStyle w:val="Normal"/>
        <w:suppressAutoHyphens w:val="true"/>
        <w:ind w:start="5040" w:end="0"/>
        <w:rPr>
          <w:spacing w:val="-3"/>
          <w:sz w:val="24"/>
          <w:szCs w:val="24"/>
        </w:rPr>
      </w:pPr>
      <w:r>
        <w:rPr>
          <w:spacing w:val="-3"/>
          <w:sz w:val="24"/>
          <w:szCs w:val="24"/>
        </w:rPr>
        <w:t>Joseph R. Hartsoe</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rPr>
      </w:pPr>
      <w:r>
        <w:rPr>
          <w:spacing w:val="-3"/>
        </w:rPr>
      </w:r>
      <w:r>
        <w:br w:type="page"/>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center"/>
        <w:rPr>
          <w:spacing w:val="-3"/>
          <w:sz w:val="24"/>
          <w:szCs w:val="24"/>
        </w:rPr>
      </w:pPr>
      <w:r>
        <w:rPr>
          <w:spacing w:val="-3"/>
          <w:sz w:val="24"/>
          <w:szCs w:val="24"/>
        </w:rPr>
        <w:t>June 11, 2001</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sz w:val="24"/>
          <w:szCs w:val="24"/>
        </w:rPr>
      </w:pPr>
      <w:r>
        <w:rPr>
          <w:spacing w:val="-3"/>
          <w:sz w:val="24"/>
          <w:szCs w:val="24"/>
        </w:rPr>
        <w:t>Ms. David Boergers, Secretary</w:t>
      </w:r>
    </w:p>
    <w:p>
      <w:pPr>
        <w:pStyle w:val="Normal"/>
        <w:suppressAutoHyphens w:val="true"/>
        <w:jc w:val="both"/>
        <w:rPr>
          <w:spacing w:val="-3"/>
          <w:sz w:val="24"/>
          <w:szCs w:val="24"/>
        </w:rPr>
      </w:pPr>
      <w:r>
        <w:rPr>
          <w:spacing w:val="-3"/>
          <w:sz w:val="24"/>
          <w:szCs w:val="24"/>
        </w:rPr>
        <w:t>Federal Energy Regulatory Commission</w:t>
      </w:r>
    </w:p>
    <w:p>
      <w:pPr>
        <w:pStyle w:val="Normal"/>
        <w:rPr>
          <w:sz w:val="24"/>
          <w:szCs w:val="24"/>
        </w:rPr>
      </w:pPr>
      <w:r>
        <w:rPr>
          <w:sz w:val="24"/>
          <w:szCs w:val="24"/>
        </w:rPr>
        <w:t xml:space="preserve">888 First Street, N.E. </w:t>
      </w:r>
    </w:p>
    <w:p>
      <w:pPr>
        <w:pStyle w:val="Normal"/>
        <w:rPr>
          <w:sz w:val="24"/>
          <w:szCs w:val="24"/>
        </w:rPr>
      </w:pPr>
      <w:r>
        <w:rPr>
          <w:sz w:val="24"/>
          <w:szCs w:val="24"/>
        </w:rPr>
        <w:t xml:space="preserve">Office of the Secretary, Room 1A, East </w:t>
      </w:r>
    </w:p>
    <w:p>
      <w:pPr>
        <w:pStyle w:val="Normal"/>
        <w:rPr>
          <w:sz w:val="24"/>
          <w:szCs w:val="24"/>
        </w:rPr>
      </w:pPr>
      <w:r>
        <w:rPr>
          <w:sz w:val="24"/>
          <w:szCs w:val="24"/>
        </w:rPr>
        <w:t>Washington, D.C. 20426</w:t>
      </w:r>
    </w:p>
    <w:p>
      <w:pPr>
        <w:pStyle w:val="Normal"/>
        <w:suppressAutoHyphens w:val="true"/>
        <w:jc w:val="both"/>
        <w:rPr>
          <w:spacing w:val="-3"/>
          <w:sz w:val="24"/>
          <w:szCs w:val="24"/>
        </w:rPr>
      </w:pPr>
      <w:r>
        <w:rPr>
          <w:spacing w:val="-3"/>
          <w:sz w:val="24"/>
          <w:szCs w:val="24"/>
        </w:rPr>
      </w:r>
    </w:p>
    <w:p>
      <w:pPr>
        <w:pStyle w:val="Normal"/>
        <w:ind w:hanging="720" w:start="720" w:end="0"/>
        <w:rPr/>
      </w:pPr>
      <w:r>
        <w:rPr>
          <w:spacing w:val="-3"/>
          <w:sz w:val="24"/>
          <w:szCs w:val="24"/>
        </w:rPr>
        <w:tab/>
        <w:t>Re:</w:t>
        <w:tab/>
      </w:r>
      <w:r>
        <w:rPr>
          <w:sz w:val="24"/>
          <w:szCs w:val="24"/>
        </w:rPr>
        <w:t>Order Proposing Requesting Comments</w:t>
      </w:r>
    </w:p>
    <w:p>
      <w:pPr>
        <w:pStyle w:val="Normal"/>
        <w:ind w:hanging="720" w:start="720" w:end="0"/>
        <w:rPr>
          <w:sz w:val="24"/>
          <w:szCs w:val="24"/>
        </w:rPr>
      </w:pPr>
      <w:r>
        <w:rPr>
          <w:sz w:val="24"/>
          <w:szCs w:val="24"/>
        </w:rPr>
        <w:tab/>
        <w:tab/>
        <w:t>San Diego Gas and Electric Company</w:t>
      </w:r>
    </w:p>
    <w:p>
      <w:pPr>
        <w:pStyle w:val="Normal"/>
        <w:ind w:hanging="720" w:start="2160" w:end="0"/>
        <w:rPr>
          <w:sz w:val="24"/>
          <w:szCs w:val="24"/>
        </w:rPr>
      </w:pPr>
      <w:r>
        <w:rPr>
          <w:sz w:val="24"/>
          <w:szCs w:val="24"/>
        </w:rPr>
        <w:t>Docket No. RP01-180-000</w:t>
      </w:r>
    </w:p>
    <w:p>
      <w:pPr>
        <w:pStyle w:val="Normal"/>
        <w:ind w:hanging="720" w:start="2160" w:end="0"/>
        <w:rPr>
          <w:sz w:val="24"/>
          <w:szCs w:val="24"/>
        </w:rPr>
      </w:pPr>
      <w:r>
        <w:rPr>
          <w:sz w:val="24"/>
          <w:szCs w:val="24"/>
        </w:rPr>
        <w:t>The Los Angeles Department of Water and Power</w:t>
      </w:r>
    </w:p>
    <w:p>
      <w:pPr>
        <w:pStyle w:val="Normal"/>
        <w:ind w:hanging="720" w:start="2160" w:end="0"/>
        <w:rPr>
          <w:sz w:val="24"/>
          <w:szCs w:val="24"/>
        </w:rPr>
      </w:pPr>
      <w:r>
        <w:rPr>
          <w:sz w:val="24"/>
          <w:szCs w:val="24"/>
        </w:rPr>
        <w:t>Docket No. RP01-222-000</w:t>
      </w:r>
    </w:p>
    <w:p>
      <w:pPr>
        <w:pStyle w:val="Normal"/>
        <w:ind w:hanging="720" w:start="720" w:end="0"/>
        <w:rPr/>
      </w:pPr>
      <w:r>
        <w:rPr>
          <w:sz w:val="24"/>
          <w:szCs w:val="24"/>
        </w:rPr>
        <w:tab/>
      </w:r>
      <w:r>
        <w:rPr>
          <w:spacing w:val="-3"/>
        </w:rPr>
        <w:tab/>
      </w:r>
    </w:p>
    <w:p>
      <w:pPr>
        <w:pStyle w:val="Normal"/>
        <w:suppressAutoHyphens w:val="true"/>
        <w:jc w:val="both"/>
        <w:rPr>
          <w:spacing w:val="-3"/>
        </w:rPr>
      </w:pPr>
      <w:r>
        <w:rPr>
          <w:spacing w:val="-3"/>
        </w:rPr>
      </w:r>
    </w:p>
    <w:p>
      <w:pPr>
        <w:pStyle w:val="Normal"/>
        <w:suppressAutoHyphens w:val="true"/>
        <w:jc w:val="both"/>
        <w:rPr>
          <w:spacing w:val="-3"/>
          <w:sz w:val="24"/>
          <w:szCs w:val="24"/>
        </w:rPr>
      </w:pPr>
      <w:r>
        <w:rPr>
          <w:spacing w:val="-3"/>
          <w:sz w:val="24"/>
          <w:szCs w:val="24"/>
        </w:rPr>
        <w:t>Dear Mr. Boergers: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 xml:space="preserve">Please find enclosed for filing with the Commission in the captioned docket an original and fourteen (14) copies of the Comments of the Enron Interstate Pipelines. This filing is also being transmitted electronically. </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Also enclosed are three extra copies to be file-stamped and returned to the messenger.</w:t>
      </w:r>
    </w:p>
    <w:p>
      <w:pPr>
        <w:pStyle w:val="Normal"/>
        <w:suppressAutoHyphens w:val="true"/>
        <w:jc w:val="both"/>
        <w:rPr>
          <w:spacing w:val="-3"/>
          <w:sz w:val="24"/>
          <w:szCs w:val="24"/>
        </w:rPr>
      </w:pPr>
      <w:r>
        <w:rPr>
          <w:spacing w:val="-3"/>
          <w:sz w:val="24"/>
          <w:szCs w:val="24"/>
        </w:rPr>
      </w:r>
    </w:p>
    <w:p>
      <w:pPr>
        <w:pStyle w:val="Normal"/>
        <w:tabs>
          <w:tab w:val="clear" w:pos="720"/>
          <w:tab w:val="left" w:pos="3240" w:leader="none"/>
        </w:tabs>
        <w:suppressAutoHyphens w:val="true"/>
        <w:jc w:val="both"/>
        <w:rPr>
          <w:spacing w:val="-3"/>
          <w:sz w:val="24"/>
          <w:szCs w:val="24"/>
        </w:rPr>
      </w:pPr>
      <w:r>
        <w:rPr>
          <w:spacing w:val="-3"/>
          <w:sz w:val="24"/>
          <w:szCs w:val="24"/>
        </w:rPr>
        <w:tab/>
        <w:t>Very truly yours,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tabs>
          <w:tab w:val="clear" w:pos="720"/>
          <w:tab w:val="left" w:pos="900" w:leader="none"/>
        </w:tabs>
        <w:ind w:start="3330" w:end="0"/>
        <w:rPr>
          <w:sz w:val="24"/>
          <w:szCs w:val="24"/>
        </w:rPr>
      </w:pPr>
      <w:r>
        <w:rPr>
          <w:sz w:val="24"/>
          <w:szCs w:val="24"/>
        </w:rPr>
        <w:t>Joseph R. Hartsoe</w:t>
      </w:r>
    </w:p>
    <w:p>
      <w:pPr>
        <w:pStyle w:val="Normal"/>
        <w:tabs>
          <w:tab w:val="clear" w:pos="720"/>
          <w:tab w:val="left" w:pos="900" w:leader="none"/>
        </w:tabs>
        <w:ind w:start="3330" w:end="0"/>
        <w:rPr>
          <w:b/>
          <w:bCs/>
          <w:sz w:val="24"/>
          <w:szCs w:val="24"/>
        </w:rPr>
      </w:pPr>
      <w:r>
        <w:rPr>
          <w:sz w:val="24"/>
          <w:szCs w:val="24"/>
        </w:rPr>
        <w:t>Vice President, Regulatory and Legislative Affairs</w:t>
      </w:r>
    </w:p>
    <w:p>
      <w:pPr>
        <w:pStyle w:val="Normal"/>
        <w:tabs>
          <w:tab w:val="clear" w:pos="720"/>
          <w:tab w:val="left" w:pos="4320" w:leader="none"/>
        </w:tabs>
        <w:suppressAutoHyphens w:val="true"/>
        <w:ind w:start="3330" w:end="0"/>
        <w:jc w:val="both"/>
        <w:rPr>
          <w:spacing w:val="-3"/>
          <w:sz w:val="24"/>
          <w:szCs w:val="24"/>
        </w:rPr>
      </w:pPr>
      <w:r>
        <w:rPr>
          <w:spacing w:val="-3"/>
          <w:sz w:val="24"/>
          <w:szCs w:val="24"/>
        </w:rPr>
        <w:t>Enron Transportation Services Company</w:t>
      </w:r>
    </w:p>
    <w:p>
      <w:pPr>
        <w:pStyle w:val="Normal"/>
        <w:tabs>
          <w:tab w:val="clear" w:pos="720"/>
          <w:tab w:val="left" w:pos="4320" w:leader="none"/>
        </w:tabs>
        <w:suppressAutoHyphens w:val="true"/>
        <w:ind w:start="3330" w:end="0"/>
        <w:jc w:val="both"/>
        <w:rPr>
          <w:spacing w:val="-3"/>
          <w:sz w:val="24"/>
          <w:szCs w:val="24"/>
        </w:rPr>
      </w:pPr>
      <w:r>
        <w:rPr>
          <w:spacing w:val="-3"/>
          <w:sz w:val="24"/>
          <w:szCs w:val="24"/>
        </w:rPr>
      </w:r>
    </w:p>
    <w:p>
      <w:pPr>
        <w:pStyle w:val="Normal"/>
        <w:tabs>
          <w:tab w:val="clear" w:pos="720"/>
          <w:tab w:val="left" w:pos="4320" w:leader="none"/>
        </w:tabs>
        <w:suppressAutoHyphens w:val="true"/>
        <w:ind w:start="3330" w:end="0"/>
        <w:jc w:val="both"/>
        <w:rPr>
          <w:spacing w:val="-3"/>
          <w:sz w:val="24"/>
          <w:szCs w:val="24"/>
        </w:rPr>
      </w:pPr>
      <w:r>
        <w:rPr>
          <w:spacing w:val="-3"/>
          <w:sz w:val="24"/>
          <w:szCs w:val="24"/>
        </w:rPr>
        <w:t>For the Enron Interstate Pipelines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Enclosures</w:t>
      </w:r>
    </w:p>
    <w:sectPr>
      <w:footerReference w:type="default" r:id="rId2"/>
      <w:footerReference w:type="first" r:id="rId3"/>
      <w:footnotePr>
        <w:numFmt w:val="decimal"/>
      </w:footnotePr>
      <w:type w:val="nextPage"/>
      <w:pgSz w:w="12240" w:h="15840"/>
      <w:pgMar w:left="1440" w:right="1440" w:gutter="0" w:header="0" w:top="1440" w:footer="720" w:bottom="135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RP01-180</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t>RP01-180</w:t>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w:t>
    </w:r>
    <w:r>
      <w:rPr>
        <w:rStyle w:val="PageNumber"/>
        <w:sz w:val="16"/>
        <w:szCs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Enron Interstate Pipelines are comprised of Northern Natural Gas Company (Northern), Transwestern Pipeline Company (Transwestern), and Florida Gas Transmission Company (Florida Gas).  Northern, Transwestern, and Florida Gas own and operate pipeline systems and perform natural gas transportation services on behalf of numerous customers, and are each interstate pipelines subject to the jurisdiction of the Commission under the Natural Gas Act.</w:t>
      </w:r>
    </w:p>
  </w:footnote>
  <w:footnote w:id="3">
    <w:p>
      <w:pPr>
        <w:pStyle w:val="FootnoteText"/>
        <w:rPr/>
      </w:pPr>
      <w:r>
        <w:rPr>
          <w:rStyle w:val="FootnoteCharacters"/>
        </w:rPr>
        <w:footnoteRef/>
      </w:r>
      <w:r>
        <w:rPr/>
        <w:t xml:space="preserve"> </w:t>
      </w:r>
      <w:r>
        <w:rPr/>
        <w:t>95 FERC ¶ 61,264 (May 22,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suppressAutoHyphens w:val="true"/>
      <w:jc w:val="center"/>
      <w:outlineLvl w:val="1"/>
    </w:pPr>
    <w:rPr>
      <w:spacing w:val="-3"/>
      <w:sz w:val="24"/>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Document2">
    <w:name w:val="Document 2"/>
    <w:basedOn w:val="DefaultParagraphFont"/>
    <w:qFormat/>
    <w:rPr>
      <w:rFonts w:ascii="Courier New" w:hAnsi="Courier New" w:eastAsia="Courier New" w:cs="Courier New"/>
      <w:sz w:val="24"/>
      <w:szCs w:val="24"/>
      <w:lang w:val="en-US"/>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eastAsia="Helvetica" w:cs="Helvetica"/>
      <w:sz w:val="20"/>
      <w:szCs w:val="20"/>
      <w:lang w:val="en-CA"/>
    </w:rPr>
  </w:style>
  <w:style w:type="paragraph" w:styleId="BodyText2">
    <w:name w:val="Body Text 2"/>
    <w:basedOn w:val="Normal"/>
    <w:qFormat/>
    <w:pPr>
      <w:spacing w:lineRule="auto" w:line="480"/>
    </w:pPr>
    <w:rPr>
      <w:sz w:val="24"/>
      <w:szCs w:val="24"/>
    </w:rPr>
  </w:style>
  <w:style w:type="paragraph" w:styleId="WW-BodyText2">
    <w:name w:val="WW-Body Text 2"/>
    <w:basedOn w:val="Normal"/>
    <w:qFormat/>
    <w:pPr>
      <w:spacing w:lineRule="auto" w:line="480"/>
      <w:ind w:firstLine="720" w:start="0" w:end="0"/>
    </w:pPr>
    <w:rPr>
      <w:sz w:val="24"/>
      <w:szCs w:val="24"/>
    </w:rPr>
  </w:style>
  <w:style w:type="paragraph" w:styleId="FootnoteText">
    <w:name w:val="footnote text"/>
    <w:basedOn w:val="Normal"/>
    <w:pPr/>
    <w:rPr>
      <w:sz w:val="20"/>
      <w:szCs w:val="20"/>
    </w:rPr>
  </w:style>
  <w:style w:type="paragraph" w:styleId="PlainText">
    <w:name w:val="Plain Text"/>
    <w:basedOn w:val="Normal"/>
    <w:qFormat/>
    <w:pPr/>
    <w:rPr>
      <w:rFonts w:ascii="Courier New" w:hAnsi="Courier New" w:eastAsia="Courier New" w:cs="Courier New"/>
      <w:sz w:val="20"/>
      <w:szCs w:val="20"/>
    </w:rPr>
  </w:style>
  <w:style w:type="paragraph" w:styleId="WW-BodyText21">
    <w:name w:val="WW-Body Text 21"/>
    <w:basedOn w:val="Normal"/>
    <w:qFormat/>
    <w:pPr>
      <w:spacing w:lineRule="auto" w:line="480"/>
      <w:ind w:firstLine="720" w:start="0" w:end="0"/>
    </w:pPr>
    <w:rPr>
      <w:sz w:val="24"/>
      <w:szCs w:val="24"/>
    </w:rPr>
  </w:style>
  <w:style w:type="paragraph" w:styleId="BodyTextIndent2">
    <w:name w:val="Body Text Indent 2"/>
    <w:basedOn w:val="Normal"/>
    <w:qFormat/>
    <w:pPr>
      <w:ind w:hanging="0" w:start="72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2001-06-06T12:06:00Z</dcterms:created>
  <dc:creator>Jan Butler</dc:creator>
  <dc:description/>
  <dc:language>en-CA</dc:language>
  <cp:lastModifiedBy>jhartso</cp:lastModifiedBy>
  <cp:lastPrinted>2001-06-06T11:27:00Z</cp:lastPrinted>
  <dcterms:modified xsi:type="dcterms:W3CDTF">2001-06-06T16:11:00Z</dcterms:modified>
  <cp:revision>17</cp:revision>
  <dc:subject/>
  <dc:title>Electronic Filing</dc:title>
</cp:coreProperties>
</file>