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120" w:after="120"/>
        <w:rPr>
          <w:spacing w:val="150"/>
        </w:rPr>
      </w:pPr>
      <w:r>
        <w:rPr>
          <w:spacing w:val="150"/>
        </w:rPr>
        <w:t>Memorandum</w:t>
      </w:r>
    </w:p>
    <w:p>
      <w:pPr>
        <w:pStyle w:val="Normal"/>
        <w:rPr>
          <w:spacing w:val="150"/>
        </w:rPr>
      </w:pPr>
      <w:r>
        <w:rPr>
          <w:spacing w:val="150"/>
        </w:rPr>
      </w:r>
    </w:p>
    <w:tbl>
      <w:tblPr>
        <w:tblW w:w="9468" w:type="dxa"/>
        <w:jc w:val="start"/>
        <w:tblInd w:w="0" w:type="dxa"/>
        <w:tblLayout w:type="fixed"/>
        <w:tblCellMar>
          <w:top w:w="0" w:type="dxa"/>
          <w:start w:w="108" w:type="dxa"/>
          <w:bottom w:w="0" w:type="dxa"/>
          <w:end w:w="108" w:type="dxa"/>
        </w:tblCellMar>
      </w:tblPr>
      <w:tblGrid>
        <w:gridCol w:w="1440"/>
        <w:gridCol w:w="8028"/>
      </w:tblGrid>
      <w:tr>
        <w:trPr/>
        <w:tc>
          <w:tcPr>
            <w:tcW w:w="1440" w:type="dxa"/>
            <w:tcBorders/>
          </w:tcPr>
          <w:p>
            <w:pPr>
              <w:pStyle w:val="Normal"/>
              <w:spacing w:before="240" w:after="240"/>
              <w:rPr>
                <w:b/>
                <w:caps/>
              </w:rPr>
            </w:pPr>
            <w:r>
              <w:rPr>
                <w:b/>
                <w:caps/>
              </w:rPr>
              <w:t>TO:</w:t>
            </w:r>
          </w:p>
        </w:tc>
        <w:tc>
          <w:tcPr>
            <w:tcW w:w="8028" w:type="dxa"/>
            <w:tcBorders/>
          </w:tcPr>
          <w:p>
            <w:pPr>
              <w:pStyle w:val="Header"/>
              <w:tabs>
                <w:tab w:val="clear" w:pos="4320"/>
                <w:tab w:val="clear" w:pos="8640"/>
              </w:tabs>
              <w:spacing w:before="240" w:after="0"/>
              <w:rPr>
                <w:b/>
                <w:bCs/>
              </w:rPr>
            </w:pPr>
            <w:r>
              <w:rPr>
                <w:b/>
                <w:bCs/>
              </w:rPr>
              <w:t>ISDA Board of Directors</w:t>
            </w:r>
          </w:p>
        </w:tc>
      </w:tr>
      <w:tr>
        <w:trPr/>
        <w:tc>
          <w:tcPr>
            <w:tcW w:w="1440" w:type="dxa"/>
            <w:tcBorders/>
          </w:tcPr>
          <w:p>
            <w:pPr>
              <w:pStyle w:val="Normal"/>
              <w:spacing w:before="240" w:after="240"/>
              <w:rPr>
                <w:b/>
                <w:caps/>
              </w:rPr>
            </w:pPr>
            <w:r>
              <w:rPr>
                <w:b/>
                <w:caps/>
              </w:rPr>
              <w:t>From:</w:t>
            </w:r>
          </w:p>
        </w:tc>
        <w:tc>
          <w:tcPr>
            <w:tcW w:w="8028" w:type="dxa"/>
            <w:tcBorders/>
          </w:tcPr>
          <w:p>
            <w:pPr>
              <w:pStyle w:val="Normal"/>
              <w:spacing w:before="240" w:after="0"/>
              <w:rPr>
                <w:b/>
                <w:bCs/>
              </w:rPr>
            </w:pPr>
            <w:r>
              <w:rPr>
                <w:b/>
                <w:bCs/>
              </w:rPr>
              <w:t>Kimberly Summe</w:t>
            </w:r>
          </w:p>
        </w:tc>
      </w:tr>
      <w:tr>
        <w:trPr/>
        <w:tc>
          <w:tcPr>
            <w:tcW w:w="1440" w:type="dxa"/>
            <w:tcBorders/>
          </w:tcPr>
          <w:p>
            <w:pPr>
              <w:pStyle w:val="Normal"/>
              <w:spacing w:before="240" w:after="240"/>
              <w:rPr>
                <w:b/>
                <w:caps/>
              </w:rPr>
            </w:pPr>
            <w:r>
              <w:rPr>
                <w:b/>
                <w:caps/>
              </w:rPr>
              <w:t>Date:</w:t>
            </w:r>
          </w:p>
        </w:tc>
        <w:tc>
          <w:tcPr>
            <w:tcW w:w="8028" w:type="dxa"/>
            <w:tcBorders/>
          </w:tcPr>
          <w:p>
            <w:pPr>
              <w:pStyle w:val="Normal"/>
              <w:spacing w:before="240" w:after="0"/>
              <w:rPr>
                <w:b/>
                <w:bCs/>
              </w:rPr>
            </w:pPr>
            <w:r>
              <w:rPr>
                <w:b/>
                <w:bCs/>
              </w:rPr>
              <w:t>March 27, 2001</w:t>
            </w:r>
          </w:p>
        </w:tc>
      </w:tr>
      <w:tr>
        <w:trPr/>
        <w:tc>
          <w:tcPr>
            <w:tcW w:w="1440" w:type="dxa"/>
            <w:tcBorders/>
          </w:tcPr>
          <w:p>
            <w:pPr>
              <w:pStyle w:val="Normal"/>
              <w:spacing w:before="240" w:after="240"/>
              <w:rPr>
                <w:b/>
                <w:caps/>
              </w:rPr>
            </w:pPr>
            <w:r>
              <w:rPr>
                <w:b/>
                <w:caps/>
              </w:rPr>
              <w:t>Re:</w:t>
            </w:r>
          </w:p>
        </w:tc>
        <w:tc>
          <w:tcPr>
            <w:tcW w:w="8028" w:type="dxa"/>
            <w:tcBorders/>
          </w:tcPr>
          <w:p>
            <w:pPr>
              <w:pStyle w:val="Heading3"/>
              <w:spacing w:before="240" w:after="0"/>
              <w:ind w:hanging="0" w:start="0"/>
              <w:rPr/>
            </w:pPr>
            <w:r>
              <w:rPr/>
              <w:t>Netting Opinions Update and Strategic Documentation Review Opinions</w:t>
            </w:r>
          </w:p>
        </w:tc>
      </w:tr>
    </w:tbl>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0" allowOverlap="1" relativeHeight="3">
                <wp:simplePos x="0" y="0"/>
                <wp:positionH relativeFrom="column">
                  <wp:posOffset>-457200</wp:posOffset>
                </wp:positionH>
                <wp:positionV relativeFrom="paragraph">
                  <wp:posOffset>40005</wp:posOffset>
                </wp:positionV>
                <wp:extent cx="6858000" cy="0"/>
                <wp:effectExtent l="0" t="9525" r="0" b="9525"/>
                <wp:wrapTopAndBottom/>
                <wp:docPr id="1"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3.15pt" to="503.95pt,3.15pt" stroked="t" o:allowincell="f" style="position:absolute">
                <v:stroke color="black" weight="19080" joinstyle="miter" endcap="flat"/>
                <v:fill o:detectmouseclick="t" on="false"/>
                <w10:wrap type="topAndBottom"/>
              </v:line>
            </w:pict>
          </mc:Fallback>
        </mc:AlternateContent>
      </w:r>
    </w:p>
    <w:p>
      <w:pPr>
        <w:pStyle w:val="BodyText"/>
        <w:rPr/>
      </w:pPr>
      <w:r>
        <w:rPr/>
        <w:t xml:space="preserve">The annual netting opinion updates are now available to members on ISDA’s website.  Opinions were obtained in 35 jurisdictions.  Primary ISDA contacts and legal opinions contacts at each member institution have a password and identification code to permit access to the opinions.  </w:t>
      </w:r>
    </w:p>
    <w:p>
      <w:pPr>
        <w:pStyle w:val="BodyText"/>
        <w:rPr/>
      </w:pPr>
      <w:r>
        <w:rPr/>
      </w:r>
    </w:p>
    <w:p>
      <w:pPr>
        <w:pStyle w:val="BodyText"/>
        <w:rPr/>
      </w:pPr>
      <w:r>
        <w:rPr/>
        <w:t>In addition, ISDA requested counsel in 35 jurisdictions to provide advice on the impact of a number of proposed changes to the ISDA Master Agreement arising out of the Strategic Documentation Review.  These include:  (i)  amendments to Sections 5 and 6 of the Master Agreement; (ii) the inclusion of a Force Majeure Annex in the Master Agreement; (iii) the characterization of the ISDA Master Agreement as an underlying agreement under the Cross Product Master Agreement published by the U.S. Bond Market Association; (iv) the development of ISDA’s Cross Product Bridging Annex; and (v) the expansion of the types of transactions covered by the opinion to include buy-sell back transactions, credit spreads, repurchase transactions, securities lending transactions and physical commodity transactions.  Small working groups are currently reviewing the opinions, which will ultimately be published on ISDA’s website in April, together with final versions of the Annexes mentioned above.</w:t>
      </w:r>
    </w:p>
    <w:p>
      <w:pPr>
        <w:pStyle w:val="BodyText"/>
        <w:rPr/>
      </w:pPr>
      <w:r>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rStyle w:val="PageNumber"/>
      </w:rPr>
    </w:pPr>
    <w:r>
      <w:rPr>
        <w:b/>
        <w:sz w:val="48"/>
      </w:rPr>
      <w:t>ISDA</w:t>
    </w:r>
    <w:r>
      <w:rPr/>
      <w:t xml:space="preserve"> </w:t>
    </w:r>
    <w:r>
      <w:rPr>
        <w:sz w:val="20"/>
      </w:rPr>
      <w:t>International Swaps and Derivatives Association, Inc.</w:t>
    </w:r>
    <w: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360" w:leader="none"/>
      </w:tabs>
      <w:ind w:start="-720" w:end="0"/>
      <w:rPr>
        <w:b/>
        <w:sz w:val="96"/>
      </w:rPr>
    </w:pPr>
    <w:r>
      <w:rPr>
        <w:b/>
        <w:sz w:val="96"/>
      </w:rPr>
      <w:t>ISDA</w:t>
    </w:r>
  </w:p>
  <w:p>
    <w:pPr>
      <w:pStyle w:val="Header"/>
      <w:tabs>
        <w:tab w:val="clear" w:pos="8640"/>
        <w:tab w:val="center" w:pos="4320" w:leader="none"/>
        <w:tab w:val="right" w:pos="9360" w:leader="none"/>
      </w:tabs>
      <w:ind w:start="-720" w:end="0"/>
      <w:rPr>
        <w:sz w:val="20"/>
      </w:rPr>
    </w:pPr>
    <w:r>
      <w:rPr>
        <w:sz w:val="20"/>
      </w:rPr>
      <w:t>International Swaps and Derivatives Association, Inc.</w:t>
      <w:tab/>
      <w:tab/>
      <w:t>London</w:t>
    </w:r>
  </w:p>
  <w:p>
    <w:pPr>
      <w:pStyle w:val="Header"/>
      <w:tabs>
        <w:tab w:val="clear" w:pos="8640"/>
        <w:tab w:val="center" w:pos="4320" w:leader="none"/>
        <w:tab w:val="right" w:pos="9360" w:leader="none"/>
      </w:tabs>
      <w:ind w:start="-720" w:end="0"/>
      <w:rPr/>
    </w:pPr>
    <w:r>
      <w:rPr>
        <w:sz w:val="20"/>
      </w:rPr>
      <w:t>600 Fifth Avenue, 27</w:t>
    </w:r>
    <w:r>
      <w:rPr>
        <w:sz w:val="20"/>
        <w:vertAlign w:val="superscript"/>
      </w:rPr>
      <w:t>th</w:t>
    </w:r>
    <w:r>
      <w:rPr>
        <w:sz w:val="20"/>
      </w:rPr>
      <w:t xml:space="preserve"> Floor</w:t>
      <w:tab/>
      <w:tab/>
      <w:t>Telephone: 44 (20) 7330-3550</w:t>
    </w:r>
  </w:p>
  <w:p>
    <w:pPr>
      <w:pStyle w:val="Header"/>
      <w:tabs>
        <w:tab w:val="clear" w:pos="8640"/>
        <w:tab w:val="center" w:pos="4320" w:leader="none"/>
        <w:tab w:val="right" w:pos="9360" w:leader="none"/>
      </w:tabs>
      <w:ind w:start="-720" w:end="0"/>
      <w:rPr>
        <w:sz w:val="20"/>
      </w:rPr>
    </w:pPr>
    <w:r>
      <w:rPr>
        <w:sz w:val="20"/>
      </w:rPr>
      <w:t>Rockefeller Center</w:t>
      <w:tab/>
      <w:tab/>
      <w:t>Facsimile: 44 (20) 7330-3555</w:t>
    </w:r>
  </w:p>
  <w:p>
    <w:pPr>
      <w:pStyle w:val="Header"/>
      <w:tabs>
        <w:tab w:val="clear" w:pos="8640"/>
        <w:tab w:val="center" w:pos="4320" w:leader="none"/>
        <w:tab w:val="right" w:pos="9360" w:leader="none"/>
      </w:tabs>
      <w:ind w:start="-720" w:end="0"/>
      <w:rPr>
        <w:sz w:val="20"/>
      </w:rPr>
    </w:pPr>
    <w:r>
      <w:rPr>
        <w:sz w:val="20"/>
      </w:rPr>
      <w:t>New York, NY 10020-2302</w:t>
    </w:r>
  </w:p>
  <w:p>
    <w:pPr>
      <w:pStyle w:val="Header"/>
      <w:tabs>
        <w:tab w:val="clear" w:pos="8640"/>
        <w:tab w:val="center" w:pos="4320" w:leader="none"/>
        <w:tab w:val="right" w:pos="9360" w:leader="none"/>
      </w:tabs>
      <w:ind w:start="-720" w:end="0"/>
      <w:rPr>
        <w:sz w:val="20"/>
      </w:rPr>
    </w:pPr>
    <w:r>
      <w:rPr>
        <w:sz w:val="20"/>
      </w:rPr>
      <w:t>United States of America</w:t>
      <w:tab/>
      <w:tab/>
      <w:t>Singapore</w:t>
    </w:r>
  </w:p>
  <w:p>
    <w:pPr>
      <w:pStyle w:val="Header"/>
      <w:tabs>
        <w:tab w:val="clear" w:pos="8640"/>
        <w:tab w:val="center" w:pos="4320" w:leader="none"/>
        <w:tab w:val="right" w:pos="9360" w:leader="none"/>
      </w:tabs>
      <w:ind w:start="-720" w:end="0"/>
      <w:rPr>
        <w:sz w:val="20"/>
      </w:rPr>
    </w:pPr>
    <w:r>
      <w:rPr>
        <w:sz w:val="20"/>
      </w:rPr>
      <w:t>Telephone: 1 (212) 332-1200</w:t>
      <w:tab/>
      <w:tab/>
      <w:t xml:space="preserve">Telephone: </w:t>
    </w:r>
    <w:r>
      <w:rPr>
        <w:caps/>
        <w:sz w:val="20"/>
      </w:rPr>
      <w:t>(65)  538-3879</w:t>
    </w:r>
  </w:p>
  <w:p>
    <w:pPr>
      <w:pStyle w:val="Header"/>
      <w:tabs>
        <w:tab w:val="clear" w:pos="8640"/>
        <w:tab w:val="center" w:pos="4320" w:leader="none"/>
        <w:tab w:val="right" w:pos="9360" w:leader="none"/>
      </w:tabs>
      <w:ind w:start="-720" w:end="0"/>
      <w:rPr/>
    </w:pPr>
    <w:r>
      <w:rPr>
        <w:sz w:val="20"/>
      </w:rPr>
      <w:t>Facsimile: 1 (212) 332-1212</w:t>
      <w:tab/>
      <w:tab/>
      <w:t>Facsimile:</w:t>
    </w:r>
    <w:r>
      <w:rPr>
        <w:caps/>
        <w:sz w:val="20"/>
      </w:rPr>
      <w:t xml:space="preserve"> (65) 538-6942</w:t>
    </w:r>
    <w:r>
      <w:rPr>
        <w:sz w:val="20"/>
      </w:rPr>
      <w:t xml:space="preserve"> </w:t>
    </w:r>
  </w:p>
  <w:p>
    <w:pPr>
      <w:pStyle w:val="Header"/>
      <w:tabs>
        <w:tab w:val="clear" w:pos="8640"/>
        <w:tab w:val="center" w:pos="4320" w:leader="none"/>
        <w:tab w:val="right" w:pos="9360" w:leader="none"/>
      </w:tabs>
      <w:ind w:start="-720" w:end="0"/>
      <w:rPr>
        <w:sz w:val="20"/>
      </w:rPr>
    </w:pPr>
    <w:r>
      <w:rPr>
        <w:sz w:val="20"/>
      </w:rPr>
      <w:t>email: isda@isda.org</w:t>
    </w:r>
  </w:p>
  <w:p>
    <w:pPr>
      <w:pStyle w:val="Header"/>
      <w:tabs>
        <w:tab w:val="clear" w:pos="8640"/>
        <w:tab w:val="center" w:pos="4320" w:leader="none"/>
        <w:tab w:val="right" w:pos="9360" w:leader="none"/>
      </w:tabs>
      <w:ind w:start="-720" w:end="0"/>
      <w:rPr>
        <w:sz w:val="20"/>
      </w:rPr>
    </w:pPr>
    <w:r>
      <w:rPr>
        <w:sz w:val="20"/>
      </w:rPr>
      <w:t>website: www.isda.org</w:t>
      <w:tab/>
      <w:tab/>
      <w:t>Tokyo</w:t>
    </w:r>
  </w:p>
  <w:p>
    <w:pPr>
      <w:pStyle w:val="Header"/>
      <w:tabs>
        <w:tab w:val="clear" w:pos="8640"/>
        <w:tab w:val="center" w:pos="4320" w:leader="none"/>
        <w:tab w:val="right" w:pos="9360" w:leader="none"/>
      </w:tabs>
      <w:ind w:start="-720" w:end="0"/>
      <w:rPr>
        <w:sz w:val="20"/>
      </w:rPr>
    </w:pPr>
    <w:r>
      <w:rPr>
        <w:sz w:val="20"/>
      </w:rPr>
      <w:tab/>
      <w:tab/>
      <w:t>Telephone: 81 (3) 5227-3282</w:t>
    </w:r>
  </w:p>
  <w:p>
    <w:pPr>
      <w:pStyle w:val="Header"/>
      <w:tabs>
        <w:tab w:val="clear" w:pos="8640"/>
        <w:tab w:val="center" w:pos="4320" w:leader="none"/>
        <w:tab w:val="right" w:pos="9360" w:leader="none"/>
        <w:tab w:val="left" w:pos="9990" w:leader="none"/>
      </w:tabs>
      <w:ind w:start="-720" w:end="0"/>
      <w:rPr>
        <w:sz w:val="20"/>
      </w:rPr>
    </w:pPr>
    <w:r>
      <w:rPr>
        <w:sz w:val="20"/>
      </w:rPr>
      <w:tab/>
      <w:tab/>
      <w:t>Facsimile: 81 (3) 5227-3283</w:t>
    </w:r>
  </w:p>
  <w:p>
    <w:pPr>
      <w:pStyle w:val="Header"/>
      <w:tabs>
        <w:tab w:val="clear" w:pos="8640"/>
        <w:tab w:val="center" w:pos="4320" w:leader="none"/>
        <w:tab w:val="right" w:pos="9360" w:leader="none"/>
      </w:tabs>
      <w:rPr>
        <w:sz w:val="20"/>
        <w:lang w:val="en-CA" w:eastAsia="en-CA"/>
      </w:rPr>
    </w:pPr>
    <w:r>
      <w:rPr>
        <w:sz w:val="20"/>
        <w:lang w:val="en-CA" w:eastAsia="en-CA"/>
      </w:rPr>
      <mc:AlternateContent>
        <mc:Choice Requires="wps">
          <w:drawing>
            <wp:anchor behindDoc="1" distT="0" distB="0" distL="114935" distR="114935" simplePos="0" locked="0" layoutInCell="1" allowOverlap="1" relativeHeight="2">
              <wp:simplePos x="0" y="0"/>
              <wp:positionH relativeFrom="column">
                <wp:posOffset>-457200</wp:posOffset>
              </wp:positionH>
              <wp:positionV relativeFrom="paragraph">
                <wp:posOffset>91440</wp:posOffset>
              </wp:positionV>
              <wp:extent cx="6858000" cy="0"/>
              <wp:effectExtent l="0" t="9525" r="0" b="9525"/>
              <wp:wrapNone/>
              <wp:docPr id="2" name=""/>
              <a:graphic xmlns:a="http://schemas.openxmlformats.org/drawingml/2006/main">
                <a:graphicData uri="http://schemas.microsoft.com/office/word/2010/wordprocessingShape">
                  <wps:wsp>
                    <wps:cNvSpPr/>
                    <wps:spPr>
                      <a:xfrm>
                        <a:off x="0" y="0"/>
                        <a:ext cx="685800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7.2pt" to="503.95pt,7.2pt" stroked="t" o:allowincell="f" style="position:absolute">
              <v:stroke color="black" weight="19080" joinstyle="miter" endcap="flat"/>
              <v:fill o:detectmouseclick="t" on="false"/>
              <w10:wrap type="none"/>
            </v:line>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0"/>
      <w:outlineLvl w:val="2"/>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caps/>
      <w:spacing w:val="50"/>
      <w:sz w:val="28"/>
    </w:rPr>
  </w:style>
  <w:style w:type="paragraph" w:styleId="BodyText">
    <w:name w:val="Body Text"/>
    <w:basedOn w:val="Normal"/>
    <w:pPr>
      <w:jc w:val="both"/>
    </w:pPr>
    <w:rPr>
      <w:bCs/>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Header"/>
    <w:pPr>
      <w:jc w:val="center"/>
    </w:pPr>
    <w:rPr>
      <w:caps/>
      <w:sz w:val="28"/>
    </w:rPr>
  </w:style>
  <w:style w:type="paragraph" w:styleId="TOC2">
    <w:name w:val="toc 2"/>
    <w:basedOn w:val="Normal"/>
    <w:next w:val="Heading1"/>
    <w:pPr>
      <w:ind w:hanging="720" w:start="720" w:end="0"/>
    </w:pPr>
    <w:rPr>
      <w:b/>
      <w:caps/>
    </w:rPr>
  </w:style>
  <w:style w:type="paragraph" w:styleId="TOC3">
    <w:name w:val="toc 3"/>
    <w:basedOn w:val="Normal"/>
    <w:next w:val="Heading2"/>
    <w:pPr>
      <w:ind w:hanging="720" w:start="1440" w:end="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2001-03-29T17:36:00Z</dcterms:created>
  <dc:creator>Barbara Hanlon</dc:creator>
  <dc:description/>
  <dc:language>en-CA</dc:language>
  <cp:lastModifiedBy>CYNTHIA</cp:lastModifiedBy>
  <dcterms:modified xsi:type="dcterms:W3CDTF">2001-03-29T17:36:00Z</dcterms:modified>
  <cp:revision>2</cp:revision>
  <dc:subject/>
  <dc:title>MEMORANDUM</dc:title>
</cp:coreProperties>
</file>