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ab/>
        <w:tab/>
        <w:tab/>
        <w:t>Page 1</w:t>
      </w:r>
    </w:p>
    <w:p>
      <w:pPr>
        <w:pStyle w:val="Normal"/>
        <w:rPr/>
      </w:pPr>
      <w:r>
        <w:rPr/>
      </w:r>
    </w:p>
    <w:p>
      <w:pPr>
        <w:pStyle w:val="Heading1"/>
        <w:ind w:hanging="0" w:start="0"/>
        <w:rPr/>
      </w:pPr>
      <w:r>
        <w:rPr/>
        <w:t>“</w:t>
      </w:r>
      <w:r>
        <w:rPr/>
        <w:t>CRUDE OIL and/or CONDENSATE NET-OUT AGREEMENT”</w:t>
      </w:r>
    </w:p>
    <w:p>
      <w:pPr>
        <w:pStyle w:val="Normal"/>
        <w:rPr/>
      </w:pPr>
      <w:r>
        <w:rPr/>
      </w:r>
    </w:p>
    <w:p>
      <w:pPr>
        <w:pStyle w:val="Normal"/>
        <w:rPr/>
      </w:pPr>
      <w:r>
        <w:rPr/>
      </w:r>
    </w:p>
    <w:p>
      <w:pPr>
        <w:pStyle w:val="Normal"/>
        <w:rPr/>
      </w:pPr>
      <w:r>
        <w:rPr/>
        <w:tab/>
        <w:t>This Agreement which is made effective as of the  th day of   , 2001 (“Effective Date”), by and between                    (“Company”), a           corporation, and SUNOCO, INC. (R&amp;M) (“SUN”), a Pennsylvania corporation, sometimes referred to herein collectively as “Parties” or individually as “Party”.</w:t>
      </w:r>
    </w:p>
    <w:p>
      <w:pPr>
        <w:pStyle w:val="Normal"/>
        <w:rPr/>
      </w:pPr>
      <w:r>
        <w:rPr/>
      </w:r>
    </w:p>
    <w:p>
      <w:pPr>
        <w:pStyle w:val="Normal"/>
        <w:rPr/>
      </w:pPr>
      <w:r>
        <w:rPr/>
        <w:tab/>
        <w:t>Whereas, the Parties buy, sell and exchange (“Transactions”) domestic crude oil and condensate (“Products”) with each other in various quantities and at various prices pursuant to various contracts or division orders (“Contracts”); and</w:t>
      </w:r>
    </w:p>
    <w:p>
      <w:pPr>
        <w:pStyle w:val="Normal"/>
        <w:rPr/>
      </w:pPr>
      <w:r>
        <w:rPr/>
      </w:r>
    </w:p>
    <w:p>
      <w:pPr>
        <w:pStyle w:val="Normal"/>
        <w:rPr/>
      </w:pPr>
      <w:r>
        <w:rPr/>
        <w:tab/>
        <w:t>Whereas, for ease and efficiency of payment, the Parties agree that a Net-Out or a net payment from one to the other, as the case may be, on a monthly basis, is preferable to multi-payments as provided in the Contracts:</w:t>
      </w:r>
    </w:p>
    <w:p>
      <w:pPr>
        <w:pStyle w:val="Normal"/>
        <w:rPr/>
      </w:pPr>
      <w:r>
        <w:rPr/>
      </w:r>
    </w:p>
    <w:p>
      <w:pPr>
        <w:pStyle w:val="Normal"/>
        <w:rPr/>
      </w:pPr>
      <w:r>
        <w:rPr/>
        <w:tab/>
        <w:t>Now, therefore, in consideration of the promises herein and other valuable consideration, the receipt of which is hereby acknowledged, the Parties agree as follows:</w:t>
      </w:r>
    </w:p>
    <w:p>
      <w:pPr>
        <w:pStyle w:val="Normal"/>
        <w:rPr/>
      </w:pPr>
      <w:r>
        <w:rPr/>
      </w:r>
    </w:p>
    <w:p>
      <w:pPr>
        <w:pStyle w:val="BodyTextIndent"/>
        <w:rPr/>
      </w:pPr>
      <w:r>
        <w:rPr/>
        <w:t>1.</w:t>
        <w:tab/>
        <w:t>This Agreement shall remain in effect so long as the Parties continue to buy, sell and/or exchange crude oil and/or condensate with one another, provided that either Party may terminate this Net-Out Agreement, without affecting any existing Contracts between the Parties by giving at least thirty (30) days advance written notice to the other party.</w:t>
      </w:r>
    </w:p>
    <w:p>
      <w:pPr>
        <w:pStyle w:val="Normal"/>
        <w:ind w:hanging="1440" w:start="1440" w:end="0"/>
        <w:rPr/>
      </w:pPr>
      <w:r>
        <w:rPr/>
      </w:r>
    </w:p>
    <w:p>
      <w:pPr>
        <w:pStyle w:val="BodyTextIndent"/>
        <w:rPr/>
      </w:pPr>
      <w:r>
        <w:rPr/>
        <w:t>2.</w:t>
        <w:tab/>
        <w:t>This Net-Out Agreement shall serve to amend the “Payment” provisions of all Contracts between the Parties.  Other terms remain unchanged.</w:t>
      </w:r>
    </w:p>
    <w:p>
      <w:pPr>
        <w:pStyle w:val="Normal"/>
        <w:ind w:hanging="1440" w:start="1440" w:end="0"/>
        <w:rPr/>
      </w:pPr>
      <w:r>
        <w:rPr/>
      </w:r>
    </w:p>
    <w:p>
      <w:pPr>
        <w:pStyle w:val="Normal"/>
        <w:ind w:hanging="720" w:start="1440" w:end="0"/>
        <w:rPr/>
      </w:pPr>
      <w:r>
        <w:rPr/>
        <w:t>3.</w:t>
        <w:tab/>
        <w:t>Each month the Parties shall mutually agree, prior to the due date, to the total value due each other for deliveries made in the preceding month, which deliveries shall be priced in accordance with the applicable Contracts.  (Each party shall continue to invoice the other party as applicable.)  The representative for each Party to be contacted to confirm the invoice amounts are as follows:</w:t>
      </w:r>
    </w:p>
    <w:p>
      <w:pPr>
        <w:pStyle w:val="Normal"/>
        <w:rPr/>
      </w:pPr>
      <w:r>
        <w:rPr/>
      </w:r>
    </w:p>
    <w:p>
      <w:pPr>
        <w:pStyle w:val="Normal"/>
        <w:rPr/>
      </w:pPr>
      <w:r>
        <w:rPr/>
        <w:tab/>
        <w:tab/>
        <w:tab/>
        <w:tab/>
      </w:r>
      <w:r>
        <w:rPr>
          <w:b/>
        </w:rPr>
        <w:t>If to SUN:</w:t>
      </w:r>
    </w:p>
    <w:p>
      <w:pPr>
        <w:pStyle w:val="Normal"/>
        <w:rPr/>
      </w:pPr>
      <w:r>
        <w:rPr/>
      </w:r>
    </w:p>
    <w:p>
      <w:pPr>
        <w:pStyle w:val="Normal"/>
        <w:rPr/>
      </w:pPr>
      <w:r>
        <w:rPr/>
        <w:tab/>
        <w:tab/>
        <w:tab/>
        <w:tab/>
        <w:t>Sunoco, Inc. (R&amp;M)</w:t>
      </w:r>
    </w:p>
    <w:p>
      <w:pPr>
        <w:pStyle w:val="Normal"/>
        <w:rPr/>
      </w:pPr>
      <w:r>
        <w:rPr/>
        <w:tab/>
        <w:tab/>
        <w:tab/>
        <w:tab/>
        <w:t>Attn: Joe Pompilii (Crude Oil Accounting)</w:t>
      </w:r>
    </w:p>
    <w:p>
      <w:pPr>
        <w:pStyle w:val="Normal"/>
        <w:rPr/>
      </w:pPr>
      <w:r>
        <w:rPr/>
        <w:tab/>
        <w:tab/>
        <w:tab/>
        <w:tab/>
        <w:t>Ten Penn Center – 23rd Floor</w:t>
      </w:r>
    </w:p>
    <w:p>
      <w:pPr>
        <w:pStyle w:val="Normal"/>
        <w:rPr/>
      </w:pPr>
      <w:r>
        <w:rPr/>
        <w:tab/>
        <w:tab/>
        <w:tab/>
        <w:tab/>
        <w:t>1801 Market Street</w:t>
      </w:r>
    </w:p>
    <w:p>
      <w:pPr>
        <w:pStyle w:val="Normal"/>
        <w:rPr/>
      </w:pPr>
      <w:r>
        <w:rPr/>
        <w:tab/>
        <w:tab/>
        <w:tab/>
        <w:tab/>
        <w:t>Philadelphia, PA  19103</w:t>
      </w:r>
    </w:p>
    <w:p>
      <w:pPr>
        <w:pStyle w:val="Normal"/>
        <w:rPr/>
      </w:pPr>
      <w:r>
        <w:rPr/>
        <w:tab/>
        <w:tab/>
        <w:tab/>
        <w:tab/>
        <w:t>Telephone:  215-246-8145</w:t>
      </w:r>
    </w:p>
    <w:p>
      <w:pPr>
        <w:pStyle w:val="Normal"/>
        <w:rPr/>
      </w:pPr>
      <w:r>
        <w:rPr/>
        <w:tab/>
        <w:tab/>
        <w:tab/>
        <w:tab/>
        <w:t>Facsimile:   215-977-6469</w:t>
      </w:r>
      <w:r>
        <w:br w:type="page"/>
      </w:r>
    </w:p>
    <w:p>
      <w:pPr>
        <w:pStyle w:val="Normal"/>
        <w:rPr/>
      </w:pPr>
      <w:r>
        <w:rPr/>
      </w:r>
    </w:p>
    <w:p>
      <w:pPr>
        <w:pStyle w:val="Normal"/>
        <w:rPr/>
      </w:pPr>
      <w:r>
        <w:rPr/>
        <w:tab/>
        <w:tab/>
        <w:tab/>
        <w:tab/>
        <w:tab/>
        <w:tab/>
        <w:tab/>
        <w:tab/>
        <w:tab/>
        <w:tab/>
        <w:tab/>
        <w:tab/>
        <w:t>Page 2</w:t>
      </w:r>
    </w:p>
    <w:p>
      <w:pPr>
        <w:pStyle w:val="Normal"/>
        <w:rPr/>
      </w:pPr>
      <w:r>
        <w:rPr/>
      </w:r>
    </w:p>
    <w:p>
      <w:pPr>
        <w:pStyle w:val="Normal"/>
        <w:rPr/>
      </w:pPr>
      <w:r>
        <w:rPr/>
        <w:tab/>
        <w:tab/>
        <w:tab/>
        <w:tab/>
      </w:r>
      <w:r>
        <w:rPr>
          <w:b/>
        </w:rPr>
        <w:t>If to COMPANY:</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Telephone:</w:t>
      </w:r>
    </w:p>
    <w:p>
      <w:pPr>
        <w:pStyle w:val="Normal"/>
        <w:rPr/>
      </w:pPr>
      <w:r>
        <w:rPr/>
        <w:tab/>
        <w:tab/>
        <w:tab/>
        <w:tab/>
        <w:t>Facsimile:</w:t>
      </w:r>
    </w:p>
    <w:p>
      <w:pPr>
        <w:pStyle w:val="Normal"/>
        <w:rPr/>
      </w:pPr>
      <w:r>
        <w:rPr/>
      </w:r>
    </w:p>
    <w:p>
      <w:pPr>
        <w:pStyle w:val="Normal"/>
        <w:ind w:hanging="720" w:start="1440" w:end="0"/>
        <w:rPr/>
      </w:pPr>
      <w:r>
        <w:rPr/>
        <w:t>4.</w:t>
        <w:tab/>
        <w:t>Disputes as to any items contained on an invoice shall be reconciled between the Parties in a mutually agreeable manner.  However, neither Party shall refuse to participate in this Net-Out process because of a disputed invoice.  If any invoice is disputed, the invoiced Party may require that only the amount it does not dispute be agreed upon as the value due in the process described in Item 3 pending resolution of the dispute and proceed otherwise with the netting out process.</w:t>
      </w:r>
    </w:p>
    <w:p>
      <w:pPr>
        <w:pStyle w:val="Normal"/>
        <w:ind w:hanging="1440" w:start="1440" w:end="0"/>
        <w:rPr/>
      </w:pPr>
      <w:r>
        <w:rPr/>
      </w:r>
    </w:p>
    <w:p>
      <w:pPr>
        <w:pStyle w:val="Normal"/>
        <w:ind w:hanging="720" w:start="1440" w:end="0"/>
        <w:rPr/>
      </w:pPr>
      <w:r>
        <w:rPr/>
        <w:t>5.</w:t>
        <w:tab/>
        <w:t>The net difference between the total values agreed to in Item 3 above shall be the amount payable to the Party delivering the greater value, (hereafter called the “Receiving Party”) by the Party delivering the lesser value (hereafter called the “Paying Party”).</w:t>
      </w:r>
    </w:p>
    <w:p>
      <w:pPr>
        <w:pStyle w:val="Normal"/>
        <w:ind w:hanging="1440" w:start="1440" w:end="0"/>
        <w:rPr/>
      </w:pPr>
      <w:r>
        <w:rPr/>
      </w:r>
    </w:p>
    <w:p>
      <w:pPr>
        <w:pStyle w:val="Normal"/>
        <w:ind w:hanging="720" w:start="1440" w:end="0"/>
        <w:rPr/>
      </w:pPr>
      <w:r>
        <w:rPr/>
        <w:t>6.</w:t>
        <w:tab/>
        <w:t>The net differences as calculated in Item 5 above shall be paid by the Paying Party to the Receiving Party by wire transfer on the 20</w:t>
      </w:r>
      <w:r>
        <w:rPr>
          <w:vertAlign w:val="superscript"/>
        </w:rPr>
        <w:t>th</w:t>
      </w:r>
      <w:r>
        <w:rPr/>
        <w:t xml:space="preserve"> of the month following the month of actual deliveries.  If the 20</w:t>
      </w:r>
      <w:r>
        <w:rPr>
          <w:vertAlign w:val="superscript"/>
        </w:rPr>
        <w:t>th</w:t>
      </w:r>
      <w:r>
        <w:rPr/>
        <w:t xml:space="preserve"> falls on a Saturday, payment will be made on the preceding banking business day.  If the 20</w:t>
      </w:r>
      <w:r>
        <w:rPr>
          <w:vertAlign w:val="superscript"/>
        </w:rPr>
        <w:t>th</w:t>
      </w:r>
      <w:r>
        <w:rPr/>
        <w:t xml:space="preserve"> falls on a Sunday or Monday United States bank holiday, payment will be made the next succeeding banking business day.</w:t>
      </w:r>
    </w:p>
    <w:p>
      <w:pPr>
        <w:pStyle w:val="Normal"/>
        <w:ind w:hanging="1440" w:start="1440" w:end="0"/>
        <w:rPr/>
      </w:pPr>
      <w:r>
        <w:rPr/>
      </w:r>
    </w:p>
    <w:p>
      <w:pPr>
        <w:pStyle w:val="Normal"/>
        <w:ind w:hanging="720" w:start="1440" w:end="0"/>
        <w:rPr/>
      </w:pPr>
      <w:r>
        <w:rPr/>
        <w:t>7.</w:t>
        <w:tab/>
        <w:t>Each Party agrees that, for the deadline to be effective, each Party must have in its possession all invoices, as applicable (involving the transaction month), not later than three (3) business days before the payment due date as described in Item 6 above unless other terms were agreed to in writing.</w:t>
      </w:r>
    </w:p>
    <w:p>
      <w:pPr>
        <w:pStyle w:val="Normal"/>
        <w:ind w:hanging="1440" w:start="1440" w:end="0"/>
        <w:rPr/>
      </w:pPr>
      <w:r>
        <w:rPr/>
      </w:r>
    </w:p>
    <w:p>
      <w:pPr>
        <w:pStyle w:val="Normal"/>
        <w:ind w:hanging="720" w:start="1440" w:end="0"/>
        <w:rPr/>
      </w:pPr>
      <w:r>
        <w:rPr/>
        <w:t>8.</w:t>
        <w:tab/>
        <w:t>Any amount payable for any of the crude oil and/or condensate described herein or otherwise payable by the Paying Party to the Receiving Party hereunder shall, if not paid when due, bear interest from the due date (inclusive) until the date full payment is received by the Receiving Party (exclusive) at a rate equal to the lesser of: (a) one percentage (1%) point above the prime rate in effect at the opening of business on the due date at Citibank’s principal office in New York City, New York; and (b) the maximum rate of interest permitted under applicable law.  The Paying Party shall pay such interest within five (5) calendar days following the Paying Party’s receipt of the Receiving Party’s invoice for such interest via wire transfer of immediately available federal funds to the Receiving Party’s designated bank.</w:t>
      </w:r>
      <w:r>
        <w:br w:type="page"/>
      </w:r>
    </w:p>
    <w:p>
      <w:pPr>
        <w:pStyle w:val="Normal"/>
        <w:rPr/>
      </w:pPr>
      <w:r>
        <w:rPr/>
        <w:tab/>
        <w:tab/>
        <w:tab/>
        <w:tab/>
        <w:tab/>
        <w:tab/>
        <w:tab/>
        <w:tab/>
        <w:tab/>
        <w:tab/>
        <w:tab/>
        <w:tab/>
        <w:t>Page 3</w:t>
      </w:r>
    </w:p>
    <w:p>
      <w:pPr>
        <w:pStyle w:val="Normal"/>
        <w:rPr/>
      </w:pPr>
      <w:r>
        <w:rPr/>
      </w:r>
    </w:p>
    <w:p>
      <w:pPr>
        <w:pStyle w:val="Normal"/>
        <w:ind w:hanging="720" w:start="1440" w:end="0"/>
        <w:rPr/>
      </w:pPr>
      <w:r>
        <w:rPr/>
        <w:t>9.</w:t>
        <w:tab/>
        <w:t>The Parties shall attempt in good faith to resolve by agreement any claim or dispute arising out of or relating to this Net-Out Agreement or the breach thereof.  Should the claim or dispute not be resolved by agreement of the Parties within thirty (30) days from receipt by a Party of the other Party’s written notice of such claim or dispute (“Notice”), the claim or dispute shall be settled by arbitration in accordance with the United States Arbitration Act by a sole arbitrator who shall be chosen by mutual agreement of the Parties or, failing such agreement within thirty-five (35) days from the receipt of the Notice, the selection of such arbitration shall be made by the American Arbitration Association at the request of either Party.  Judgment upon award rendered by the arbitrator may be entered in any court having jurisdiction.  The prevailing Party in the resolution of any such claim or dispute shall be entitled to full recovery of reasonable attorneys’ fees, costs, and expenses incurred in connection therewith against the non-prevailing Party.</w:t>
      </w:r>
    </w:p>
    <w:p>
      <w:pPr>
        <w:pStyle w:val="Normal"/>
        <w:ind w:hanging="1440" w:start="1440" w:end="0"/>
        <w:rPr/>
      </w:pPr>
      <w:r>
        <w:rPr/>
      </w:r>
    </w:p>
    <w:p>
      <w:pPr>
        <w:pStyle w:val="Normal"/>
        <w:ind w:hanging="720" w:start="1440" w:end="0"/>
        <w:rPr/>
      </w:pPr>
      <w:r>
        <w:rPr/>
        <w:t>10.</w:t>
        <w:tab/>
        <w:t>Except as specifically set forth herein, nothing within this Net-Out Agreement shall be construed to amend, modify or cancel any part or all of any Contracts, presently in effect between Sun and Company.  All other terms and conditions of said agreement(s) shall remain unchanged and in effect.</w:t>
      </w:r>
    </w:p>
    <w:p>
      <w:pPr>
        <w:pStyle w:val="Normal"/>
        <w:ind w:hanging="1440" w:start="1440" w:end="0"/>
        <w:rPr/>
      </w:pPr>
      <w:r>
        <w:rPr/>
      </w:r>
    </w:p>
    <w:p>
      <w:pPr>
        <w:pStyle w:val="Normal"/>
        <w:ind w:hanging="720" w:start="1440" w:end="0"/>
        <w:rPr/>
      </w:pPr>
      <w:r>
        <w:rPr/>
        <w:t>11.</w:t>
        <w:tab/>
        <w:t>All payments due under any future Contracts between Sun and Company shall be handled in accordance with the terms of this Net-Out Agreement.</w:t>
      </w:r>
    </w:p>
    <w:p>
      <w:pPr>
        <w:pStyle w:val="Normal"/>
        <w:ind w:hanging="1440" w:start="1440" w:end="0"/>
        <w:rPr/>
      </w:pPr>
      <w:r>
        <w:rPr/>
      </w:r>
    </w:p>
    <w:p>
      <w:pPr>
        <w:pStyle w:val="Normal"/>
        <w:ind w:hanging="720" w:start="1440" w:end="0"/>
        <w:rPr/>
      </w:pPr>
      <w:r>
        <w:rPr/>
        <w:t>12.</w:t>
        <w:tab/>
        <w:t>Notwithstanding anything contained herein to the contrary, this Net-Out Agreement applies only to domestic crude oil and/or condensate buy, sell and/or exchange contracts between the Parties.</w:t>
      </w:r>
    </w:p>
    <w:p>
      <w:pPr>
        <w:pStyle w:val="Normal"/>
        <w:ind w:hanging="1440" w:start="1440" w:end="0"/>
        <w:rPr/>
      </w:pPr>
      <w:r>
        <w:rPr/>
      </w:r>
    </w:p>
    <w:p>
      <w:pPr>
        <w:pStyle w:val="BodyTextIndent"/>
        <w:rPr/>
      </w:pPr>
      <w:r>
        <w:rPr/>
        <w:t>13.</w:t>
        <w:tab/>
        <w:t>Except for assignments made to an affiliate of a Party, this Agreement cannot be assigned without the prior written consent of the other Party, which consent shall not be unreasonably withheld.  Any assignment made without obtaining the consent of the appropriate Party shall be voidable by that Party.</w:t>
      </w:r>
    </w:p>
    <w:p>
      <w:pPr>
        <w:pStyle w:val="Normal"/>
        <w:ind w:hanging="1440" w:start="1440" w:end="0"/>
        <w:rPr/>
      </w:pPr>
      <w:r>
        <w:rPr/>
      </w:r>
    </w:p>
    <w:p>
      <w:pPr>
        <w:pStyle w:val="BodyTextIndent2"/>
        <w:ind w:hanging="720" w:end="0"/>
        <w:rPr/>
      </w:pPr>
      <w:r>
        <w:rPr/>
        <w:t>14.</w:t>
        <w:tab/>
        <w:t>The law governing this Agreement shall be that of the state designated in the applicable Contracts, it being the intent of the Parties, not to amend the non-payment provisions of said Contracts, and if the Contracts do not specify which law is to govern the, or if the Contracts designate the law of more than one state, the law governing this Agreement shall be that of the State of Oklahoma, except the choice of law rules of that state which would require the law of another jurisdiction to apply.</w:t>
      </w:r>
    </w:p>
    <w:p>
      <w:pPr>
        <w:pStyle w:val="Normal"/>
        <w:ind w:hanging="1440" w:start="1440" w:end="0"/>
        <w:rPr/>
      </w:pPr>
      <w:r>
        <w:rPr/>
      </w:r>
    </w:p>
    <w:p>
      <w:pPr>
        <w:pStyle w:val="Normal"/>
        <w:ind w:hanging="720" w:start="1440" w:end="0"/>
        <w:rPr/>
      </w:pPr>
      <w:r>
        <w:rPr/>
        <w:t>15.</w:t>
        <w:tab/>
        <w:t>Any notice or communications to be made or given hereunder (except for the telephone communication and facsimile invoices permitted under Section 3) shall be in writing and delivered by hand or sent by certified mail, return receipt required, or nationwide overnight delivery service (with charges prepaid), addressed to the respective Parties, as follows:</w:t>
      </w:r>
    </w:p>
    <w:p>
      <w:pPr>
        <w:pStyle w:val="Normal"/>
        <w:ind w:hanging="720" w:start="1440" w:end="0"/>
        <w:rPr/>
      </w:pPr>
      <w:r>
        <w:rPr/>
      </w:r>
    </w:p>
    <w:p>
      <w:pPr>
        <w:pStyle w:val="Normal"/>
        <w:ind w:hanging="1440" w:start="1440" w:end="0"/>
        <w:rPr/>
      </w:pPr>
      <w:r>
        <w:rPr/>
      </w:r>
    </w:p>
    <w:p>
      <w:pPr>
        <w:pStyle w:val="Normal"/>
        <w:ind w:hanging="1440" w:start="1440" w:end="0"/>
        <w:rPr/>
      </w:pPr>
      <w:r>
        <w:rPr/>
        <w:tab/>
        <w:tab/>
        <w:tab/>
        <w:tab/>
        <w:tab/>
        <w:tab/>
        <w:tab/>
        <w:tab/>
        <w:tab/>
        <w:tab/>
        <w:tab/>
        <w:t>Page 4</w:t>
      </w:r>
    </w:p>
    <w:p>
      <w:pPr>
        <w:pStyle w:val="Normal"/>
        <w:ind w:hanging="1440" w:start="1440" w:end="0"/>
        <w:rPr/>
      </w:pPr>
      <w:r>
        <w:rPr/>
      </w:r>
    </w:p>
    <w:p>
      <w:pPr>
        <w:pStyle w:val="Normal"/>
        <w:rPr/>
      </w:pPr>
      <w:r>
        <w:rPr/>
      </w:r>
    </w:p>
    <w:p>
      <w:pPr>
        <w:pStyle w:val="Normal"/>
        <w:rPr/>
      </w:pPr>
      <w:r>
        <w:rPr/>
        <w:tab/>
        <w:tab/>
        <w:tab/>
        <w:tab/>
      </w:r>
      <w:r>
        <w:rPr>
          <w:b/>
        </w:rPr>
        <w:t>If to COMPANY:</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Telephone:</w:t>
      </w:r>
    </w:p>
    <w:p>
      <w:pPr>
        <w:pStyle w:val="Normal"/>
        <w:rPr/>
      </w:pPr>
      <w:r>
        <w:rPr/>
        <w:tab/>
        <w:tab/>
        <w:tab/>
        <w:tab/>
        <w:t>Facsimile:</w:t>
      </w:r>
    </w:p>
    <w:p>
      <w:pPr>
        <w:pStyle w:val="Normal"/>
        <w:ind w:hanging="1440" w:start="1440" w:end="0"/>
        <w:rPr/>
      </w:pPr>
      <w:r>
        <w:rPr/>
      </w:r>
    </w:p>
    <w:p>
      <w:pPr>
        <w:pStyle w:val="Normal"/>
        <w:rPr/>
      </w:pPr>
      <w:r>
        <w:rPr/>
      </w:r>
    </w:p>
    <w:p>
      <w:pPr>
        <w:pStyle w:val="Normal"/>
        <w:rPr/>
      </w:pPr>
      <w:r>
        <w:rPr/>
        <w:tab/>
        <w:tab/>
        <w:tab/>
        <w:tab/>
      </w:r>
      <w:r>
        <w:rPr>
          <w:b/>
        </w:rPr>
        <w:t>If to SUN:</w:t>
      </w:r>
    </w:p>
    <w:p>
      <w:pPr>
        <w:pStyle w:val="Normal"/>
        <w:rPr/>
      </w:pPr>
      <w:r>
        <w:rPr/>
      </w:r>
    </w:p>
    <w:p>
      <w:pPr>
        <w:pStyle w:val="Normal"/>
        <w:rPr/>
      </w:pPr>
      <w:r>
        <w:rPr/>
        <w:tab/>
        <w:tab/>
        <w:tab/>
        <w:tab/>
        <w:t>Sunoco, Inc. (R&amp;M)</w:t>
      </w:r>
    </w:p>
    <w:p>
      <w:pPr>
        <w:pStyle w:val="Normal"/>
        <w:rPr/>
      </w:pPr>
      <w:r>
        <w:rPr/>
        <w:tab/>
        <w:tab/>
        <w:tab/>
        <w:tab/>
        <w:t>Attn: Bill Stahlnecker</w:t>
      </w:r>
    </w:p>
    <w:p>
      <w:pPr>
        <w:pStyle w:val="Normal"/>
        <w:rPr/>
      </w:pPr>
      <w:r>
        <w:rPr/>
        <w:tab/>
        <w:tab/>
        <w:tab/>
        <w:tab/>
        <w:t>Ten Penn Center – 21</w:t>
      </w:r>
      <w:r>
        <w:rPr>
          <w:vertAlign w:val="superscript"/>
        </w:rPr>
        <w:t>st</w:t>
      </w:r>
      <w:r>
        <w:rPr/>
        <w:t xml:space="preserve"> Floor</w:t>
      </w:r>
    </w:p>
    <w:p>
      <w:pPr>
        <w:pStyle w:val="Normal"/>
        <w:rPr/>
      </w:pPr>
      <w:r>
        <w:rPr/>
        <w:tab/>
        <w:tab/>
        <w:tab/>
        <w:tab/>
        <w:t>1801 Market Street</w:t>
      </w:r>
    </w:p>
    <w:p>
      <w:pPr>
        <w:pStyle w:val="Normal"/>
        <w:rPr/>
      </w:pPr>
      <w:r>
        <w:rPr/>
        <w:tab/>
        <w:tab/>
        <w:tab/>
        <w:tab/>
        <w:t>Philadelphia, PA  19103</w:t>
      </w:r>
    </w:p>
    <w:p>
      <w:pPr>
        <w:pStyle w:val="Normal"/>
        <w:rPr/>
      </w:pPr>
      <w:r>
        <w:rPr/>
        <w:tab/>
        <w:tab/>
        <w:tab/>
        <w:tab/>
        <w:t>Telephone:  215-977-6822</w:t>
      </w:r>
    </w:p>
    <w:p>
      <w:pPr>
        <w:pStyle w:val="Normal"/>
        <w:rPr/>
      </w:pPr>
      <w:r>
        <w:rPr/>
        <w:tab/>
        <w:tab/>
        <w:tab/>
        <w:tab/>
        <w:t>Facsimile:   215-977-3055</w:t>
      </w:r>
    </w:p>
    <w:p>
      <w:pPr>
        <w:pStyle w:val="Normal"/>
        <w:rPr/>
      </w:pPr>
      <w:r>
        <w:rPr/>
      </w:r>
    </w:p>
    <w:p>
      <w:pPr>
        <w:pStyle w:val="BodyTextIndent2"/>
        <w:rPr/>
      </w:pPr>
      <w:r>
        <w:rPr/>
        <w:tab/>
        <w:t>Notices and other communications so sent shall be deemed given upon receipt by the addressee.</w:t>
      </w:r>
    </w:p>
    <w:p>
      <w:pPr>
        <w:pStyle w:val="Normal"/>
        <w:ind w:hanging="1440" w:start="1440" w:end="0"/>
        <w:rPr/>
      </w:pPr>
      <w:r>
        <w:rPr/>
      </w:r>
    </w:p>
    <w:p>
      <w:pPr>
        <w:pStyle w:val="Normal"/>
        <w:ind w:hanging="720" w:start="1440" w:end="0"/>
        <w:rPr/>
      </w:pPr>
      <w:r>
        <w:rPr/>
        <w:t>16.</w:t>
        <w:tab/>
        <w:t>In the event one or more of the provisions contained in this Agreement shall be invalid or legally unenforceable in any respect under any applicable law, the validity, legality or enforceability of the remaining provisions hereof shall not be affected or impaired thereby.</w:t>
      </w:r>
    </w:p>
    <w:p>
      <w:pPr>
        <w:pStyle w:val="Normal"/>
        <w:ind w:hanging="1440" w:start="1440" w:end="0"/>
        <w:rPr/>
      </w:pPr>
      <w:r>
        <w:rPr/>
      </w:r>
    </w:p>
    <w:p>
      <w:pPr>
        <w:pStyle w:val="Normal"/>
        <w:ind w:hanging="720" w:start="1440" w:end="0"/>
        <w:rPr/>
      </w:pPr>
      <w:r>
        <w:rPr/>
        <w:t>17.</w:t>
        <w:tab/>
        <w:t>This Agreement shall inure to the benefit of and shall be binding upon the Company and Sun and their respective successors and assigns.</w:t>
      </w:r>
    </w:p>
    <w:p>
      <w:pPr>
        <w:pStyle w:val="Normal"/>
        <w:ind w:hanging="1440" w:start="1440" w:end="0"/>
        <w:rPr/>
      </w:pPr>
      <w:r>
        <w:rPr/>
      </w:r>
    </w:p>
    <w:p>
      <w:pPr>
        <w:pStyle w:val="Normal"/>
        <w:ind w:hanging="720" w:start="1440" w:end="0"/>
        <w:rPr/>
      </w:pPr>
      <w:r>
        <w:rPr/>
        <w:t>18.</w:t>
        <w:tab/>
        <w:t>This Agreement constitutes the whole and entire Agreement between the Parties hereto with respect to the subject matter hereof and supercedes any prior agreement, undertaking, declarations, commitment or representation, written or oral in respect thereof.”</w:t>
      </w:r>
    </w:p>
    <w:p>
      <w:pPr>
        <w:pStyle w:val="Normal"/>
        <w:ind w:hanging="1440" w:start="1440" w:end="0"/>
        <w:rPr/>
      </w:pPr>
      <w:r>
        <w:rPr/>
      </w:r>
    </w:p>
    <w:p>
      <w:pPr>
        <w:pStyle w:val="Normal"/>
        <w:ind w:hanging="720" w:start="1440" w:end="0"/>
        <w:rPr/>
      </w:pPr>
      <w:r>
        <w:rPr/>
        <w:t>19.</w:t>
        <w:tab/>
        <w:t>No failure on the part of a Party hereto to exercise and no delay in exercising any right hereunder shall operate as a waiver thereof, nor shall any single or partial exercise of any right hereunder preclude any other further exercise thereof, or the exercise of any other right.  The remedies herein provided are cumulative and not exclusive of any remedies provided by law.</w:t>
      </w:r>
      <w:r>
        <w:br w:type="page"/>
      </w:r>
    </w:p>
    <w:p>
      <w:pPr>
        <w:pStyle w:val="Normal"/>
        <w:ind w:hanging="1440" w:start="1440" w:end="0"/>
        <w:rPr/>
      </w:pPr>
      <w:r>
        <w:rPr/>
        <w:tab/>
        <w:tab/>
        <w:tab/>
        <w:tab/>
        <w:tab/>
        <w:tab/>
        <w:tab/>
        <w:tab/>
        <w:tab/>
        <w:tab/>
        <w:tab/>
        <w:t>Page 5</w:t>
      </w:r>
    </w:p>
    <w:p>
      <w:pPr>
        <w:pStyle w:val="Normal"/>
        <w:ind w:hanging="1440" w:start="1440" w:end="0"/>
        <w:rPr/>
      </w:pPr>
      <w:r>
        <w:rPr/>
      </w:r>
    </w:p>
    <w:p>
      <w:pPr>
        <w:pStyle w:val="Normal"/>
        <w:ind w:hanging="1440" w:start="1440" w:end="0"/>
        <w:rPr/>
      </w:pPr>
      <w:r>
        <w:rPr/>
      </w:r>
    </w:p>
    <w:p>
      <w:pPr>
        <w:pStyle w:val="Normal"/>
        <w:ind w:hanging="720" w:start="1440" w:end="0"/>
        <w:rPr/>
      </w:pPr>
      <w:r>
        <w:rPr/>
        <w:t>20.</w:t>
        <w:tab/>
        <w:t>This Agreement may not be modified, amended or waived except by an instrument in writing signed by the authorized representatives of the Company and Sun or by the respective successors or permitted assigns.</w:t>
      </w:r>
    </w:p>
    <w:p>
      <w:pPr>
        <w:pStyle w:val="Normal"/>
        <w:ind w:hanging="1440" w:start="1440" w:end="0"/>
        <w:rPr/>
      </w:pPr>
      <w:r>
        <w:rPr/>
      </w:r>
    </w:p>
    <w:p>
      <w:pPr>
        <w:pStyle w:val="Normal"/>
        <w:ind w:hanging="720" w:start="1440" w:end="0"/>
        <w:rPr/>
      </w:pPr>
      <w:r>
        <w:rPr/>
        <w:t>21.</w:t>
        <w:tab/>
        <w:t>This Net-Out Agreement may be executed in one or more counterparts, each of which shall be considered an original counterpart, and shall become a binding agreement when all of the parties hereto have each executed one counterpart.</w:t>
      </w:r>
    </w:p>
    <w:p>
      <w:pPr>
        <w:pStyle w:val="Normal"/>
        <w:ind w:hanging="1440" w:start="1440" w:end="0"/>
        <w:rPr/>
      </w:pPr>
      <w:r>
        <w:rPr/>
      </w:r>
    </w:p>
    <w:p>
      <w:pPr>
        <w:pStyle w:val="Normal"/>
        <w:ind w:hanging="720" w:start="1440" w:end="0"/>
        <w:rPr/>
      </w:pPr>
      <w:r>
        <w:rPr/>
        <w:t>22.</w:t>
        <w:tab/>
        <w:t>In the event of mergers, acquisitions, and bankruptcies affecting a party hereto, this Net-Out Agreement shall remain binding until such Party is notified to the contrary in writing by the other Party thirty (30) days in advance.</w:t>
      </w:r>
    </w:p>
    <w:p>
      <w:pPr>
        <w:pStyle w:val="Normal"/>
        <w:ind w:hanging="1440" w:start="1440" w:end="0"/>
        <w:rPr/>
      </w:pPr>
      <w:r>
        <w:rPr/>
      </w:r>
    </w:p>
    <w:p>
      <w:pPr>
        <w:pStyle w:val="BodyTextIndent2"/>
        <w:ind w:hanging="720" w:end="0"/>
        <w:rPr/>
      </w:pPr>
      <w:r>
        <w:rPr/>
        <w:t>23.</w:t>
        <w:tab/>
        <w:t>For the avoidance of doubt, this agreement under the Contracts is not issued in lieu of credit security (ie. Letters of credit) if deemed necessary by either Party’s credit department.</w:t>
      </w:r>
    </w:p>
    <w:p>
      <w:pPr>
        <w:pStyle w:val="Normal"/>
        <w:rPr/>
      </w:pPr>
      <w:r>
        <w:rPr/>
      </w:r>
    </w:p>
    <w:p>
      <w:pPr>
        <w:pStyle w:val="Normal"/>
        <w:rPr/>
      </w:pPr>
      <w:r>
        <w:rPr/>
        <w:tab/>
        <w:t>In Witness Whereof, the Parties have caused this Agreement to be executed.</w:t>
      </w:r>
    </w:p>
    <w:p>
      <w:pPr>
        <w:pStyle w:val="Normal"/>
        <w:rPr/>
      </w:pPr>
      <w:r>
        <w:rPr/>
      </w:r>
    </w:p>
    <w:p>
      <w:pPr>
        <w:pStyle w:val="Normal"/>
        <w:rPr/>
      </w:pPr>
      <w:r>
        <w:rPr/>
      </w:r>
    </w:p>
    <w:p>
      <w:pPr>
        <w:pStyle w:val="Normal"/>
        <w:rPr/>
      </w:pPr>
      <w:r>
        <w:rPr/>
      </w:r>
    </w:p>
    <w:p>
      <w:pPr>
        <w:pStyle w:val="Normal"/>
        <w:rPr/>
      </w:pPr>
      <w:r>
        <w:rPr/>
        <w:tab/>
        <w:tab/>
        <w:tab/>
        <w:tab/>
        <w:tab/>
        <w:tab/>
        <w:tab/>
        <w:tab/>
        <w:tab/>
        <w:t>Sunoco, Inc. (R&amp;M)</w:t>
      </w:r>
    </w:p>
    <w:p>
      <w:pPr>
        <w:pStyle w:val="Normal"/>
        <w:rPr/>
      </w:pPr>
      <w:r>
        <w:rPr/>
      </w:r>
    </w:p>
    <w:p>
      <w:pPr>
        <w:pStyle w:val="Normal"/>
        <w:rPr/>
      </w:pPr>
      <w:r>
        <w:rPr/>
      </w:r>
    </w:p>
    <w:p>
      <w:pPr>
        <w:pStyle w:val="Normal"/>
        <w:rPr/>
      </w:pPr>
      <w:r>
        <w:rPr/>
      </w:r>
    </w:p>
    <w:p>
      <w:pPr>
        <w:pStyle w:val="Normal"/>
        <w:rPr/>
      </w:pPr>
      <w:r>
        <w:rPr/>
        <w:t>________________________________</w:t>
        <w:tab/>
        <w:tab/>
        <w:tab/>
        <w:t>______________________________</w:t>
      </w:r>
    </w:p>
    <w:p>
      <w:pPr>
        <w:pStyle w:val="Normal"/>
        <w:rPr/>
      </w:pPr>
      <w:r>
        <w:rPr/>
      </w:r>
    </w:p>
    <w:p>
      <w:pPr>
        <w:pStyle w:val="Normal"/>
        <w:rPr/>
      </w:pPr>
      <w:r>
        <w:rPr/>
        <w:tab/>
        <w:tab/>
        <w:tab/>
        <w:tab/>
        <w:tab/>
        <w:tab/>
        <w:tab/>
        <w:tab/>
        <w:tab/>
        <w:t>Anthony J. Gallo</w:t>
      </w:r>
    </w:p>
    <w:p>
      <w:pPr>
        <w:pStyle w:val="Normal"/>
        <w:rPr/>
      </w:pPr>
      <w:r>
        <w:rPr/>
        <w:tab/>
        <w:tab/>
        <w:tab/>
        <w:tab/>
        <w:tab/>
        <w:tab/>
        <w:tab/>
        <w:tab/>
        <w:t xml:space="preserve">    Operations Credit Manager</w:t>
      </w:r>
    </w:p>
    <w:p>
      <w:pPr>
        <w:pStyle w:val="Normal"/>
        <w:rPr/>
      </w:pPr>
      <w:r>
        <w:rPr/>
      </w:r>
    </w:p>
    <w:p>
      <w:pPr>
        <w:pStyle w:val="Normal"/>
        <w:rPr/>
      </w:pPr>
      <w:r>
        <w:rPr/>
      </w:r>
    </w:p>
    <w:p>
      <w:pPr>
        <w:pStyle w:val="Normal"/>
        <w:rPr/>
      </w:pPr>
      <w:r>
        <w:rPr/>
        <w:t>Date: ____________________________</w:t>
        <w:tab/>
        <w:tab/>
        <w:tab/>
        <w:t>Date: _________________________</w:t>
      </w:r>
    </w:p>
    <w:p>
      <w:pPr>
        <w:pStyle w:val="Normal"/>
        <w:rPr/>
      </w:pPr>
      <w:r>
        <w:rPr/>
      </w:r>
    </w:p>
    <w:p>
      <w:pPr>
        <w:pStyle w:val="Normal"/>
        <w:rPr/>
      </w:pPr>
      <w:r>
        <w:rPr/>
      </w:r>
    </w:p>
    <w:p>
      <w:pPr>
        <w:pStyle w:val="Normal"/>
        <w:rPr/>
      </w:pPr>
      <w:r>
        <w:rPr/>
      </w:r>
    </w:p>
    <w:sectPr>
      <w:type w:val="nextPage"/>
      <w:pgSz w:w="12240" w:h="15840"/>
      <w:pgMar w:left="1440" w:right="144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 w:type="paragraph" w:styleId="BodyTextIndent2">
    <w:name w:val="Body Text Indent 2"/>
    <w:basedOn w:val="Normal"/>
    <w:qFormat/>
    <w:pPr>
      <w:ind w:hanging="144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2001-11-01T18:54:00Z</dcterms:created>
  <dc:creator>Sun Company, Inc.</dc:creator>
  <dc:description/>
  <dc:language>en-CA</dc:language>
  <cp:lastModifiedBy>Sun Company, Inc.</cp:lastModifiedBy>
  <dcterms:modified xsi:type="dcterms:W3CDTF">2001-11-01T18:54:00Z</dcterms:modified>
  <cp:revision>2</cp:revision>
  <dc:subject/>
  <dc:title>“CRUDE OIL and/or CONDENSATE NET-OUT AGREEMENT”</dc:title>
</cp:coreProperties>
</file>