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rFonts w:ascii="Times New Roman" w:hAnsi="Times New Roman" w:cs="Times New Roman"/>
          <w:b/>
          <w:color w:val="000000"/>
          <w:sz w:val="32"/>
        </w:rPr>
      </w:pPr>
      <w:r>
        <w:rPr>
          <w:rFonts w:cs="Times New Roman" w:ascii="Times New Roman" w:hAnsi="Times New Roman"/>
          <w:b/>
          <w:color w:val="000000"/>
          <w:sz w:val="32"/>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center"/>
        <w:rPr>
          <w:rFonts w:ascii="Times New Roman" w:hAnsi="Times New Roman" w:cs="Times New Roman"/>
          <w:b/>
          <w:color w:val="000000"/>
          <w:sz w:val="48"/>
        </w:rPr>
      </w:pPr>
      <w:r>
        <w:rPr>
          <w:rFonts w:cs="Times New Roman" w:ascii="Times New Roman" w:hAnsi="Times New Roman"/>
          <w:b/>
          <w:color w:val="000000"/>
          <w:sz w:val="48"/>
        </w:rPr>
        <w:t>NARUC’s National Electricity Policy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rFonts w:ascii="Times New Roman" w:hAnsi="Times New Roman" w:cs="Times New Roman"/>
          <w:b/>
          <w:color w:val="000000"/>
          <w:sz w:val="32"/>
        </w:rPr>
      </w:pPr>
      <w:r>
        <w:rPr>
          <w:rFonts w:cs="Times New Roman" w:ascii="Times New Roman" w:hAnsi="Times New Roman"/>
          <w:b/>
          <w:color w:val="000000"/>
          <w:sz w:val="32"/>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rFonts w:ascii="Times New Roman" w:hAnsi="Times New Roman" w:cs="Times New Roman"/>
          <w:b/>
          <w:color w:val="000000"/>
          <w:sz w:val="32"/>
        </w:rPr>
      </w:pPr>
      <w:r>
        <w:rPr>
          <w:rFonts w:cs="Times New Roman" w:ascii="Times New Roman" w:hAnsi="Times New Roman"/>
          <w:b/>
          <w:color w:val="000000"/>
          <w:sz w:val="32"/>
        </w:rPr>
        <w:t>I.</w:t>
        <w:tab/>
        <w:t>General Principles</w:t>
      </w:r>
    </w:p>
    <w:p>
      <w:pPr>
        <w:pStyle w:val="Footer"/>
        <w:tabs>
          <w:tab w:val="clear" w:pos="4320"/>
          <w:tab w:val="clear" w:pos="8640"/>
        </w:tabs>
        <w:ind w:firstLine="720" w:end="0"/>
        <w:rPr>
          <w:rFonts w:ascii="Times New Roman" w:hAnsi="Times New Roman" w:cs="Times New Roman"/>
          <w:b/>
          <w:color w:val="000000"/>
          <w:sz w:val="32"/>
          <w:lang w:eastAsia="en-US"/>
        </w:rPr>
      </w:pPr>
      <w:r>
        <w:rPr>
          <w:rFonts w:cs="Times New Roman"/>
          <w:b/>
          <w:color w:val="000000"/>
          <w:sz w:val="32"/>
          <w:lang w:eastAsia="en-US"/>
        </w:rPr>
      </w:r>
    </w:p>
    <w:p>
      <w:pPr>
        <w:pStyle w:val="Footer"/>
        <w:tabs>
          <w:tab w:val="clear" w:pos="4320"/>
          <w:tab w:val="clear" w:pos="8640"/>
        </w:tabs>
        <w:ind w:start="720" w:end="0"/>
        <w:rPr>
          <w:lang w:eastAsia="en-US"/>
        </w:rPr>
      </w:pPr>
      <w:r>
        <w:rPr>
          <w:lang w:eastAsia="en-US"/>
        </w:rPr>
        <w:t>The nation’s energy policy should assure affordable, reliable, safe, and environmentally-sound electricity.  To achieve this goal, Federal legislation should:</w:t>
      </w:r>
    </w:p>
    <w:p>
      <w:pPr>
        <w:pStyle w:val="Normal"/>
        <w:rPr>
          <w:lang w:eastAsia="en-US"/>
        </w:rPr>
      </w:pPr>
      <w:r>
        <w:rPr>
          <w:lang w:eastAsia="en-US"/>
        </w:rPr>
      </w:r>
    </w:p>
    <w:p>
      <w:pPr>
        <w:pStyle w:val="Footer"/>
        <w:tabs>
          <w:tab w:val="clear" w:pos="4320"/>
          <w:tab w:val="clear" w:pos="8640"/>
        </w:tabs>
        <w:ind w:start="720" w:end="0"/>
        <w:rPr>
          <w:lang w:eastAsia="en-US"/>
        </w:rPr>
      </w:pPr>
      <w:r>
        <w:rPr>
          <w:lang w:eastAsia="en-US"/>
        </w:rPr>
        <w:t>1.</w:t>
        <w:tab/>
        <w:t>encourage additional fuel- and technology-diverse supply resources</w:t>
      </w:r>
    </w:p>
    <w:p>
      <w:pPr>
        <w:pStyle w:val="Normal"/>
        <w:ind w:start="1440" w:end="0"/>
        <w:rPr>
          <w:lang w:eastAsia="en-US"/>
        </w:rPr>
      </w:pPr>
      <w:r>
        <w:rPr>
          <w:lang w:eastAsia="en-US"/>
        </w:rPr>
        <w:t>to meet the nation’s growing energy demands;</w:t>
      </w:r>
    </w:p>
    <w:p>
      <w:pPr>
        <w:pStyle w:val="Normal"/>
        <w:ind w:start="720" w:end="0"/>
        <w:rPr>
          <w:lang w:eastAsia="en-US"/>
        </w:rPr>
      </w:pPr>
      <w:r>
        <w:rPr>
          <w:lang w:eastAsia="en-US"/>
        </w:rPr>
        <w:t>2.</w:t>
        <w:tab/>
        <w:t>promote demand-side management to reduce those demands;</w:t>
      </w:r>
    </w:p>
    <w:p>
      <w:pPr>
        <w:pStyle w:val="Normal"/>
        <w:numPr>
          <w:ilvl w:val="0"/>
          <w:numId w:val="7"/>
        </w:numPr>
        <w:rPr>
          <w:lang w:eastAsia="en-US"/>
        </w:rPr>
      </w:pPr>
      <w:r>
        <w:rPr>
          <w:lang w:eastAsia="en-US"/>
        </w:rPr>
        <w:t>provide for reliability standards and their enforcement;</w:t>
      </w:r>
    </w:p>
    <w:p>
      <w:pPr>
        <w:pStyle w:val="Normal"/>
        <w:ind w:start="720" w:end="0"/>
        <w:rPr>
          <w:lang w:eastAsia="en-US"/>
        </w:rPr>
      </w:pPr>
      <w:r>
        <w:rPr>
          <w:lang w:eastAsia="en-US"/>
        </w:rPr>
        <w:t>4.</w:t>
        <w:tab/>
        <w:t>assure open and effective regional wholesale markets;</w:t>
      </w:r>
    </w:p>
    <w:p>
      <w:pPr>
        <w:pStyle w:val="Normal"/>
        <w:ind w:start="720" w:end="0"/>
        <w:rPr>
          <w:lang w:eastAsia="en-US"/>
        </w:rPr>
      </w:pPr>
      <w:r>
        <w:rPr>
          <w:lang w:eastAsia="en-US"/>
        </w:rPr>
        <w:t>5.</w:t>
        <w:tab/>
        <w:t>minimize the environmental impacts of energy generation, delivery and</w:t>
      </w:r>
    </w:p>
    <w:p>
      <w:pPr>
        <w:pStyle w:val="Normal"/>
        <w:ind w:start="1440" w:end="0"/>
        <w:rPr>
          <w:lang w:eastAsia="en-US"/>
        </w:rPr>
      </w:pPr>
      <w:r>
        <w:rPr>
          <w:lang w:eastAsia="en-US"/>
        </w:rPr>
        <w:t>use;  and</w:t>
      </w:r>
    </w:p>
    <w:p>
      <w:pPr>
        <w:pStyle w:val="Normal"/>
        <w:ind w:start="720" w:end="0"/>
        <w:rPr>
          <w:lang w:eastAsia="en-US"/>
        </w:rPr>
      </w:pPr>
      <w:r>
        <w:rPr>
          <w:lang w:eastAsia="en-US"/>
        </w:rPr>
        <w:t>6.</w:t>
        <w:tab/>
        <w:t>respect, preserve and strengthen the states’ traditional roles in</w:t>
      </w:r>
    </w:p>
    <w:p>
      <w:pPr>
        <w:pStyle w:val="Normal"/>
        <w:ind w:start="1440" w:end="0"/>
        <w:rPr>
          <w:lang w:eastAsia="en-US"/>
        </w:rPr>
      </w:pPr>
      <w:r>
        <w:rPr>
          <w:lang w:eastAsia="en-US"/>
        </w:rPr>
        <w:t>regulating distribution systems, planning, siting approval, reliability assurance, and consumer protection.</w:t>
      </w:r>
    </w:p>
    <w:p>
      <w:pPr>
        <w:pStyle w:val="Normal"/>
        <w:rPr>
          <w:rFonts w:ascii="MS Sans Serif" w:hAnsi="MS Sans Serif" w:cs="MS Sans Serif"/>
          <w:sz w:val="16"/>
          <w:lang w:eastAsia="en-US"/>
        </w:rPr>
      </w:pPr>
      <w:r>
        <w:rPr>
          <w:rFonts w:cs="MS Sans Serif" w:ascii="MS Sans Serif" w:hAnsi="MS Sans Serif"/>
          <w:sz w:val="16"/>
          <w:lang w:eastAsia="en-US"/>
        </w:rPr>
      </w:r>
    </w:p>
    <w:p>
      <w:pPr>
        <w:pStyle w:val="Style0"/>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16"/>
          <w:lang w:eastAsia="en-US"/>
        </w:rPr>
      </w:pPr>
      <w:r>
        <w:rPr>
          <w:rFonts w:cs="Times New Roman" w:ascii="Times New Roman" w:hAnsi="Times New Roman"/>
          <w:sz w:val="16"/>
          <w:lang w:eastAsia="en-US"/>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rFonts w:ascii="Times New Roman" w:hAnsi="Times New Roman" w:cs="Times New Roman"/>
          <w:color w:val="000000"/>
        </w:rPr>
      </w:pPr>
      <w:r>
        <w:rPr>
          <w:rFonts w:cs="Times New Roman" w:ascii="Times New Roman" w:hAnsi="Times New Roman"/>
          <w:b/>
          <w:color w:val="000000"/>
          <w:sz w:val="32"/>
        </w:rPr>
        <w:t>II.</w:t>
        <w:tab/>
        <w:t>Diverse, Plentiful and Clean Energy Supplies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numPr>
          <w:ilvl w:val="0"/>
          <w:numId w:val="3"/>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rPr>
          <w:rFonts w:ascii="Times New Roman" w:hAnsi="Times New Roman" w:cs="Times New Roman"/>
          <w:color w:val="000000"/>
        </w:rPr>
      </w:pPr>
      <w:r>
        <w:rPr>
          <w:rFonts w:cs="Times New Roman" w:ascii="Times New Roman" w:hAnsi="Times New Roman"/>
          <w:color w:val="000000"/>
        </w:rPr>
        <w:t xml:space="preserve">Congress should encourage clean electricity generation and the increased use of renewable energy technologies as a tool to achieve fuel diversity and greater energy security.  </w:t>
      </w:r>
    </w:p>
    <w:p>
      <w:pPr>
        <w:pStyle w:val="Style0"/>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080" w:end="0"/>
        <w:rPr>
          <w:rFonts w:ascii="Times New Roman" w:hAnsi="Times New Roman" w:cs="Times New Roman"/>
          <w:color w:val="000000"/>
        </w:rPr>
      </w:pPr>
      <w:r>
        <w:rPr>
          <w:rFonts w:cs="Times New Roman" w:ascii="Times New Roman" w:hAnsi="Times New Roman"/>
          <w:color w:val="000000"/>
        </w:rPr>
      </w:r>
    </w:p>
    <w:p>
      <w:pPr>
        <w:pStyle w:val="Style0"/>
        <w:numPr>
          <w:ilvl w:val="0"/>
          <w:numId w:val="3"/>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rPr>
          <w:rFonts w:ascii="Times New Roman" w:hAnsi="Times New Roman" w:cs="Times New Roman"/>
          <w:color w:val="000000"/>
        </w:rPr>
      </w:pPr>
      <w:r>
        <w:rPr>
          <w:rFonts w:cs="Times New Roman" w:ascii="Times New Roman" w:hAnsi="Times New Roman"/>
          <w:color w:val="000000"/>
        </w:rPr>
        <w:t>Congress should encourage domestic exploration and production of new natural gas supplies and expansion of natural gas transmission and delivery infrastructure in an environmentally sound manner at reasonable costs, but should avoid an over</w:t>
        <w:noBreakHyphen/>
      </w:r>
      <w:r>
        <w:rPr>
          <w:rFonts w:cs="Times New Roman" w:ascii="Times New Roman" w:hAnsi="Times New Roman"/>
        </w:rPr>
        <w:t>reliance on</w:t>
      </w:r>
      <w:r>
        <w:rPr>
          <w:rFonts w:cs="Times New Roman" w:ascii="Times New Roman" w:hAnsi="Times New Roman"/>
          <w:color w:val="000000"/>
        </w:rPr>
        <w:t xml:space="preserve"> natural gas </w:t>
      </w:r>
      <w:r>
        <w:rPr>
          <w:rFonts w:cs="Times New Roman" w:ascii="Times New Roman" w:hAnsi="Times New Roman"/>
        </w:rPr>
        <w:t xml:space="preserve">for new electric generation because it could </w:t>
      </w:r>
      <w:r>
        <w:rPr>
          <w:rFonts w:cs="Times New Roman" w:ascii="Times New Roman" w:hAnsi="Times New Roman"/>
          <w:color w:val="000000"/>
        </w:rPr>
        <w:t xml:space="preserve">compromise winter natural gas availability as well as increase the price for both gas and electric service. </w:t>
      </w:r>
    </w:p>
    <w:p>
      <w:pPr>
        <w:pStyle w:val="Style0"/>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080" w:end="0"/>
        <w:rPr>
          <w:rFonts w:ascii="Times New Roman" w:hAnsi="Times New Roman" w:cs="Times New Roman"/>
          <w:color w:val="000000"/>
        </w:rPr>
      </w:pPr>
      <w:r>
        <w:rPr>
          <w:rFonts w:cs="Times New Roman" w:ascii="Times New Roman" w:hAnsi="Times New Roman"/>
          <w:color w:val="000000"/>
        </w:rPr>
      </w:r>
    </w:p>
    <w:p>
      <w:pPr>
        <w:pStyle w:val="Style0"/>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rPr>
          <w:rFonts w:ascii="Times New Roman" w:hAnsi="Times New Roman" w:cs="Times New Roman"/>
          <w:color w:val="000000"/>
        </w:rPr>
      </w:pPr>
      <w:r>
        <w:rPr>
          <w:rFonts w:cs="Times New Roman" w:ascii="Times New Roman" w:hAnsi="Times New Roman"/>
          <w:color w:val="000000"/>
        </w:rPr>
        <w:t>Coal fuels a significant portion of the nation’s electric power and is expected to do so for the foreseeable future.  However, because of coal’s air emissions, it is important that Congress and states work together to reduce such air emissions and encourage development of low</w:t>
        <w:noBreakHyphen/>
        <w:t>polluting central station generation, including clean-coal technology.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080" w:end="0"/>
        <w:rPr>
          <w:rFonts w:ascii="Times New Roman" w:hAnsi="Times New Roman" w:cs="Times New Roman"/>
          <w:color w:val="000000"/>
        </w:rPr>
      </w:pPr>
      <w:r>
        <w:rPr>
          <w:rFonts w:cs="Times New Roman" w:ascii="Times New Roman" w:hAnsi="Times New Roman"/>
          <w:color w:val="000000"/>
        </w:rPr>
      </w:r>
    </w:p>
    <w:p>
      <w:pPr>
        <w:pStyle w:val="Normal"/>
        <w:numPr>
          <w:ilvl w:val="0"/>
          <w:numId w:val="3"/>
        </w:numPr>
        <w:tabs>
          <w:tab w:val="left" w:pos="720" w:leader="none"/>
        </w:tabs>
        <w:ind w:hanging="360" w:start="720" w:end="0"/>
        <w:rPr/>
      </w:pPr>
      <w:r>
        <w:rPr/>
        <w:t>Congress or the Administration should increase the efficiency for licensing and relicensing processes of hydroelectric and nuclear facilities, without relaxing substantive environmental and safety standards.</w:t>
      </w:r>
    </w:p>
    <w:p>
      <w:pPr>
        <w:pStyle w:val="Style0"/>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3240" w:end="0"/>
        <w:rPr>
          <w:rFonts w:ascii="Times New Roman" w:hAnsi="Times New Roman" w:cs="Times New Roman"/>
          <w:color w:val="000000"/>
        </w:rPr>
      </w:pPr>
      <w:r>
        <w:rPr>
          <w:rFonts w:cs="Times New Roman" w:ascii="Times New Roman" w:hAnsi="Times New Roman"/>
          <w:color w:val="000000"/>
        </w:rPr>
      </w:r>
    </w:p>
    <w:p>
      <w:pPr>
        <w:pStyle w:val="Normal"/>
        <w:numPr>
          <w:ilvl w:val="0"/>
          <w:numId w:val="3"/>
        </w:numPr>
        <w:tabs>
          <w:tab w:val="left" w:pos="720" w:leader="none"/>
        </w:tabs>
        <w:ind w:hanging="360" w:start="720" w:end="0"/>
        <w:rPr>
          <w:lang w:eastAsia="en-US"/>
        </w:rPr>
      </w:pPr>
      <w:r>
        <w:rPr>
          <w:color w:val="000000"/>
        </w:rPr>
        <w:t>Although n</w:t>
      </w:r>
      <w:r>
        <w:rPr>
          <w:lang w:eastAsia="en-US"/>
        </w:rPr>
        <w:t xml:space="preserve">uclear facilities create long-term radioactive waste problems, they should continue to play an important part of our national electric supply portfolio since they provide a significant portion of the nation’s electricity supply and do not produce air emissions. </w:t>
      </w:r>
    </w:p>
    <w:p>
      <w:pPr>
        <w:pStyle w:val="Normal"/>
        <w:ind w:start="1080" w:end="0"/>
        <w:rPr>
          <w:lang w:eastAsia="en-US"/>
        </w:rPr>
      </w:pPr>
      <w:r>
        <w:rPr>
          <w:lang w:eastAsia="en-US"/>
        </w:rPr>
      </w:r>
    </w:p>
    <w:p>
      <w:pPr>
        <w:pStyle w:val="Normal"/>
        <w:numPr>
          <w:ilvl w:val="0"/>
          <w:numId w:val="3"/>
        </w:numPr>
        <w:tabs>
          <w:tab w:val="left" w:pos="720" w:leader="none"/>
        </w:tabs>
        <w:ind w:hanging="360" w:start="720" w:end="0"/>
        <w:rPr/>
      </w:pPr>
      <w:r>
        <w:rPr/>
        <w:t xml:space="preserve">Congress needs to fulfill its commitment to provide the long-term storage of spent nuclear fuel very quickly.  To accomplish this, Congress should ensure that the Nuclear Waste Fund revenue and appropriations are managed responsibly and used only for the establishment of a permanent repository.  Pending development of a permanent repository, it is better to store spent fuel at one (or more) central location(s) on an interim basis than to leave it at reactor sites.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rPr>
          <w:rFonts w:ascii="Times New Roman" w:hAnsi="Times New Roman" w:cs="Times New Roman"/>
          <w:color w:val="000000"/>
        </w:rPr>
      </w:pPr>
      <w:r>
        <w:rPr>
          <w:rFonts w:cs="Times New Roman" w:ascii="Times New Roman" w:hAnsi="Times New Roman"/>
          <w:color w:val="000000"/>
        </w:rPr>
        <w:t xml:space="preserve">The states support ongoing and renewed efforts to maintain the security of nuclear power plants and prevent the proliferation of weapons-grade byproducts. </w:t>
      </w:r>
    </w:p>
    <w:p>
      <w:pPr>
        <w:pStyle w:val="Style0"/>
        <w:tabs>
          <w:tab w:val="clear" w:pos="720"/>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numPr>
          <w:ilvl w:val="0"/>
          <w:numId w:val="3"/>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rPr>
          <w:rFonts w:ascii="Times New Roman" w:hAnsi="Times New Roman" w:cs="Times New Roman"/>
        </w:rPr>
      </w:pPr>
      <w:r>
        <w:rPr>
          <w:rFonts w:cs="Times New Roman" w:ascii="Times New Roman" w:hAnsi="Times New Roman"/>
        </w:rPr>
        <w:t xml:space="preserve">Congress should enact legislation to lift the Public Utility Regulatory Policies Act's mandatory purchase requirement, but should allow the States to determine appropriate measures to protect the public interest in resource acquisition and to address mitigation and cost recovery issues associated with these contracts. </w:t>
      </w:r>
    </w:p>
    <w:p>
      <w:pPr>
        <w:pStyle w:val="Style0"/>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color w:val="000000"/>
        </w:rPr>
      </w:pPr>
      <w:r>
        <w:rPr>
          <w:rFonts w:cs="Times New Roman" w:ascii="Times New Roman" w:hAnsi="Times New Roman"/>
          <w:color w:val="000000"/>
        </w:rPr>
      </w:r>
    </w:p>
    <w:p>
      <w:pPr>
        <w:pStyle w:val="Heading2"/>
        <w:numPr>
          <w:ilvl w:val="0"/>
          <w:numId w:val="18"/>
        </w:numPr>
        <w:ind w:hanging="0" w:start="0"/>
        <w:rPr/>
      </w:pPr>
      <w:r>
        <w:rPr/>
        <w:t xml:space="preserve">Demand Management </w:t>
      </w:r>
    </w:p>
    <w:p>
      <w:pPr>
        <w:pStyle w:val="Style0"/>
        <w:tabs>
          <w:tab w:val="left" w:pos="720" w:leader="none"/>
          <w:tab w:val="left" w:pos="1440" w:leader="none"/>
          <w:tab w:val="left" w:pos="2160" w:leader="none"/>
          <w:tab w:val="left" w:pos="22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numPr>
          <w:ilvl w:val="0"/>
          <w:numId w:val="12"/>
        </w:numPr>
        <w:tabs>
          <w:tab w:val="left" w:pos="720" w:leader="none"/>
          <w:tab w:val="left" w:pos="2160" w:leader="none"/>
          <w:tab w:val="left" w:pos="22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rPr>
          <w:rFonts w:ascii="Times New Roman" w:hAnsi="Times New Roman" w:cs="Times New Roman"/>
          <w:color w:val="000000"/>
        </w:rPr>
      </w:pPr>
      <w:r>
        <w:rPr>
          <w:rFonts w:cs="Times New Roman" w:ascii="Times New Roman" w:hAnsi="Times New Roman"/>
        </w:rPr>
        <w:t xml:space="preserve">Congress should promote energy efficiency programs through increased funding, tax credits, and the setting of increasingly more efficient national building codes and standards for motors, lighting and appliances. </w:t>
      </w:r>
    </w:p>
    <w:p>
      <w:pPr>
        <w:pStyle w:val="Style0"/>
        <w:tabs>
          <w:tab w:val="clear" w:pos="720"/>
          <w:tab w:val="left" w:pos="2160" w:leader="none"/>
          <w:tab w:val="left" w:pos="22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rPr>
          <w:rFonts w:ascii="Times New Roman" w:hAnsi="Times New Roman" w:cs="Times New Roman"/>
          <w:color w:val="000000"/>
        </w:rPr>
      </w:pPr>
      <w:r>
        <w:rPr>
          <w:rFonts w:cs="Times New Roman" w:ascii="Times New Roman" w:hAnsi="Times New Roman"/>
          <w:color w:val="000000"/>
        </w:rPr>
      </w:r>
    </w:p>
    <w:p>
      <w:pPr>
        <w:pStyle w:val="Style0"/>
        <w:numPr>
          <w:ilvl w:val="0"/>
          <w:numId w:val="12"/>
        </w:numPr>
        <w:tabs>
          <w:tab w:val="left" w:pos="720" w:leader="none"/>
          <w:tab w:val="left" w:pos="2160" w:leader="none"/>
          <w:tab w:val="left" w:pos="22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rPr>
          <w:rFonts w:ascii="Times New Roman" w:hAnsi="Times New Roman" w:cs="Times New Roman"/>
          <w:color w:val="000000"/>
        </w:rPr>
      </w:pPr>
      <w:r>
        <w:rPr>
          <w:rFonts w:cs="Times New Roman" w:ascii="Times New Roman" w:hAnsi="Times New Roman"/>
        </w:rPr>
        <w:t>Congress should promote planning strategies for maintaining a proper balance between supply and load that includes demand-side management techniques (including price-responsive demand mechanisms), intermittent and renewable resources, conservation/energy efficiency programs, as well as traditional supply and transmission options.</w:t>
      </w:r>
    </w:p>
    <w:p>
      <w:pPr>
        <w:pStyle w:val="Style0"/>
        <w:tabs>
          <w:tab w:val="clear" w:pos="720"/>
          <w:tab w:val="left" w:pos="2160" w:leader="none"/>
          <w:tab w:val="left" w:pos="22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numPr>
          <w:ilvl w:val="0"/>
          <w:numId w:val="12"/>
        </w:numPr>
        <w:tabs>
          <w:tab w:val="left" w:pos="72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rPr>
          <w:rFonts w:ascii="Times New Roman" w:hAnsi="Times New Roman" w:cs="Times New Roman"/>
          <w:color w:val="000000"/>
        </w:rPr>
      </w:pPr>
      <w:r>
        <w:rPr>
          <w:rFonts w:cs="Times New Roman" w:ascii="Times New Roman" w:hAnsi="Times New Roman"/>
          <w:color w:val="000000"/>
        </w:rPr>
        <w:t>Congress should continue to provide funding for e</w:t>
      </w:r>
      <w:r>
        <w:rPr>
          <w:rFonts w:cs="Times New Roman" w:ascii="Times New Roman" w:hAnsi="Times New Roman"/>
        </w:rPr>
        <w:t>nergy efficiency and conservation for low and moderate income consumers through programs that provide education, weatherization, housing improvements, installation of higher efficiency appliances, and similar usage reduction measures.</w:t>
      </w:r>
    </w:p>
    <w:p>
      <w:pPr>
        <w:pStyle w:val="Style0"/>
        <w:tabs>
          <w:tab w:val="left" w:pos="720" w:leader="none"/>
          <w:tab w:val="left" w:pos="144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Heading2"/>
        <w:numPr>
          <w:ilvl w:val="0"/>
          <w:numId w:val="18"/>
        </w:numPr>
        <w:ind w:hanging="0" w:start="0"/>
        <w:rPr/>
      </w:pPr>
      <w:r>
        <w:rPr/>
        <w:t>RTOs, Reliability, Planning &amp; Delivery Infrastructure</w:t>
      </w:r>
    </w:p>
    <w:p>
      <w:pPr>
        <w:pStyle w:val="Normal"/>
        <w:rPr/>
      </w:pPr>
      <w:r>
        <w:rPr/>
      </w:r>
    </w:p>
    <w:p>
      <w:pPr>
        <w:pStyle w:val="Heading5"/>
        <w:numPr>
          <w:ilvl w:val="0"/>
          <w:numId w:val="2"/>
        </w:numPr>
        <w:rPr/>
      </w:pPr>
      <w:r>
        <w:rPr/>
        <w:t>Regional Transmissions Organizations</w:t>
      </w:r>
    </w:p>
    <w:p>
      <w:pPr>
        <w:pStyle w:val="Normal"/>
        <w:rPr/>
      </w:pPr>
      <w:r>
        <w:rPr/>
      </w:r>
    </w:p>
    <w:p>
      <w:pPr>
        <w:pStyle w:val="Style0"/>
        <w:numPr>
          <w:ilvl w:val="0"/>
          <w:numId w:val="10"/>
        </w:numPr>
        <w:tabs>
          <w:tab w:val="clear" w:pos="720"/>
          <w:tab w:val="left" w:pos="135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440" w:end="0"/>
        <w:rPr>
          <w:rFonts w:ascii="Times New Roman" w:hAnsi="Times New Roman" w:cs="Times New Roman"/>
          <w:color w:val="000000"/>
        </w:rPr>
      </w:pPr>
      <w:r>
        <w:rPr>
          <w:rFonts w:cs="Times New Roman" w:ascii="Times New Roman" w:hAnsi="Times New Roman"/>
        </w:rPr>
        <w:t>Congress should require the FERC to determine boundaries, structure, and functions for r</w:t>
      </w:r>
      <w:r>
        <w:rPr>
          <w:rFonts w:cs="Times New Roman" w:ascii="Times New Roman" w:hAnsi="Times New Roman"/>
          <w:color w:val="000000"/>
        </w:rPr>
        <w:t>egional transmission organizations (RTO) in consultation with the states.</w:t>
      </w:r>
    </w:p>
    <w:p>
      <w:pPr>
        <w:pStyle w:val="Style0"/>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080" w:end="0"/>
        <w:rPr>
          <w:rFonts w:ascii="Times New Roman" w:hAnsi="Times New Roman" w:cs="Times New Roman"/>
          <w:color w:val="000000"/>
        </w:rPr>
      </w:pPr>
      <w:r>
        <w:rPr>
          <w:rFonts w:cs="Times New Roman" w:ascii="Times New Roman" w:hAnsi="Times New Roman"/>
          <w:color w:val="000000"/>
        </w:rPr>
      </w:r>
    </w:p>
    <w:p>
      <w:pPr>
        <w:pStyle w:val="Style0"/>
        <w:numPr>
          <w:ilvl w:val="0"/>
          <w:numId w:val="10"/>
        </w:numPr>
        <w:tabs>
          <w:tab w:val="clear" w:pos="720"/>
          <w:tab w:val="left" w:pos="135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440" w:end="0"/>
        <w:rPr>
          <w:rFonts w:ascii="Times New Roman" w:hAnsi="Times New Roman" w:cs="Times New Roman"/>
          <w:color w:val="000000"/>
        </w:rPr>
      </w:pPr>
      <w:r>
        <w:rPr>
          <w:rFonts w:cs="Times New Roman" w:ascii="Times New Roman" w:hAnsi="Times New Roman"/>
          <w:color w:val="000000"/>
        </w:rPr>
        <w:t>Congress should require the FERC to give RTOs sufficient authority to perform regional grid management, expansion, and efficient system operations that are built and operated in the most economical, reliable and environmentally acceptable way  to realize short</w:t>
        <w:noBreakHyphen/>
        <w:t>term as well as long</w:t>
        <w:noBreakHyphen/>
        <w:t>term reliability and facilitate efficient wholesale market transactions.</w:t>
      </w:r>
    </w:p>
    <w:p>
      <w:pPr>
        <w:pStyle w:val="Style0"/>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080" w:end="0"/>
        <w:rPr>
          <w:rFonts w:ascii="Times New Roman" w:hAnsi="Times New Roman" w:cs="Times New Roman"/>
          <w:color w:val="000000"/>
        </w:rPr>
      </w:pPr>
      <w:r>
        <w:rPr>
          <w:rFonts w:cs="Times New Roman" w:ascii="Times New Roman" w:hAnsi="Times New Roman"/>
          <w:color w:val="000000"/>
        </w:rPr>
      </w:r>
    </w:p>
    <w:p>
      <w:pPr>
        <w:pStyle w:val="Normal"/>
        <w:numPr>
          <w:ilvl w:val="0"/>
          <w:numId w:val="10"/>
        </w:numPr>
        <w:tabs>
          <w:tab w:val="clear" w:pos="720"/>
          <w:tab w:val="left" w:pos="1440" w:leader="none"/>
        </w:tabs>
        <w:ind w:hanging="360" w:start="1440" w:end="0"/>
        <w:rPr/>
      </w:pPr>
      <w:r>
        <w:rPr/>
        <w:t>Congress should require the FERC to recognize states’ rights to active p</w:t>
      </w:r>
      <w:r>
        <w:rPr>
          <w:color w:val="000000"/>
        </w:rPr>
        <w:t xml:space="preserve">articipation in RTO governance.  This would include development (and revision) of market rules, access to RTO market monitoring information, and development, </w:t>
      </w:r>
      <w:r>
        <w:rPr/>
        <w:t xml:space="preserve">with federal authorities, of market power mitigation programs. </w:t>
      </w:r>
    </w:p>
    <w:p>
      <w:pPr>
        <w:pStyle w:val="Normal"/>
        <w:rPr/>
      </w:pPr>
      <w:r>
        <w:rPr/>
        <w:t xml:space="preserve">   </w:t>
      </w:r>
    </w:p>
    <w:p>
      <w:pPr>
        <w:pStyle w:val="Heading6"/>
        <w:numPr>
          <w:ilvl w:val="0"/>
          <w:numId w:val="4"/>
        </w:numPr>
        <w:ind w:hanging="0" w:start="0"/>
        <w:rPr/>
      </w:pPr>
      <w:r>
        <w:rPr/>
        <w:t>Long-term planning</w:t>
      </w:r>
    </w:p>
    <w:p>
      <w:pPr>
        <w:pStyle w:val="Normal"/>
        <w:ind w:start="720" w:end="0"/>
        <w:rPr>
          <w:b/>
        </w:rPr>
      </w:pPr>
      <w:r>
        <w:rPr>
          <w:b/>
        </w:rPr>
      </w:r>
    </w:p>
    <w:p>
      <w:pPr>
        <w:pStyle w:val="Normal"/>
        <w:ind w:hanging="360" w:start="1440" w:end="0"/>
        <w:rPr/>
      </w:pPr>
      <w:r>
        <w:rPr/>
        <w:t xml:space="preserve">1. </w:t>
        <w:tab/>
        <w:t>Congress should require that RTOs have sufficient authority to conduct long term planning for their regions and, working with the states and transmission owners, implement long-term planning that should:</w:t>
      </w:r>
    </w:p>
    <w:p>
      <w:pPr>
        <w:pStyle w:val="Normal"/>
        <w:ind w:start="1440" w:end="0"/>
        <w:rPr/>
      </w:pPr>
      <w:r>
        <w:rPr/>
      </w:r>
    </w:p>
    <w:p>
      <w:pPr>
        <w:pStyle w:val="Normal"/>
        <w:numPr>
          <w:ilvl w:val="0"/>
          <w:numId w:val="6"/>
        </w:numPr>
        <w:tabs>
          <w:tab w:val="clear" w:pos="720"/>
          <w:tab w:val="left" w:pos="2520" w:leader="none"/>
        </w:tabs>
        <w:ind w:hanging="360" w:start="2520" w:end="0"/>
        <w:rPr/>
      </w:pPr>
      <w:r>
        <w:rPr/>
        <w:t xml:space="preserve">take into account fuel diversity including renewables resources; </w:t>
      </w:r>
    </w:p>
    <w:p>
      <w:pPr>
        <w:pStyle w:val="Normal"/>
        <w:numPr>
          <w:ilvl w:val="0"/>
          <w:numId w:val="6"/>
        </w:numPr>
        <w:tabs>
          <w:tab w:val="clear" w:pos="720"/>
          <w:tab w:val="left" w:pos="2520" w:leader="none"/>
        </w:tabs>
        <w:ind w:hanging="360" w:start="2520" w:end="0"/>
        <w:rPr/>
      </w:pPr>
      <w:r>
        <w:rPr/>
        <w:t xml:space="preserve">recognize the need for new investment in generation and transmission facilities that provides adequate reserve margins; </w:t>
      </w:r>
    </w:p>
    <w:p>
      <w:pPr>
        <w:pStyle w:val="Normal"/>
        <w:numPr>
          <w:ilvl w:val="0"/>
          <w:numId w:val="6"/>
        </w:numPr>
        <w:tabs>
          <w:tab w:val="clear" w:pos="720"/>
          <w:tab w:val="left" w:pos="2520" w:leader="none"/>
        </w:tabs>
        <w:ind w:hanging="360" w:start="2520" w:end="0"/>
        <w:rPr/>
      </w:pPr>
      <w:r>
        <w:rPr/>
        <w:t xml:space="preserve">assure that reliability is not compromised by resource imbalances; </w:t>
      </w:r>
    </w:p>
    <w:p>
      <w:pPr>
        <w:pStyle w:val="Normal"/>
        <w:numPr>
          <w:ilvl w:val="0"/>
          <w:numId w:val="6"/>
        </w:numPr>
        <w:tabs>
          <w:tab w:val="clear" w:pos="720"/>
          <w:tab w:val="left" w:pos="2520" w:leader="none"/>
        </w:tabs>
        <w:ind w:hanging="360" w:start="2520" w:end="0"/>
        <w:rPr/>
      </w:pPr>
      <w:r>
        <w:rPr/>
        <w:t xml:space="preserve">reduce any decisional role for entities with unreasonable generation or transmission market power; </w:t>
      </w:r>
    </w:p>
    <w:p>
      <w:pPr>
        <w:pStyle w:val="Normal"/>
        <w:numPr>
          <w:ilvl w:val="0"/>
          <w:numId w:val="6"/>
        </w:numPr>
        <w:tabs>
          <w:tab w:val="clear" w:pos="720"/>
          <w:tab w:val="left" w:pos="2520" w:leader="none"/>
        </w:tabs>
        <w:ind w:hanging="360" w:start="2520" w:end="0"/>
        <w:rPr/>
      </w:pPr>
      <w:r>
        <w:rPr/>
        <w:t xml:space="preserve">include broad public participation and collaboration among market participants and third party participation in offering competitive alternatives such as demand-side and distributed generation options; </w:t>
      </w:r>
    </w:p>
    <w:p>
      <w:pPr>
        <w:pStyle w:val="Normal"/>
        <w:numPr>
          <w:ilvl w:val="0"/>
          <w:numId w:val="6"/>
        </w:numPr>
        <w:tabs>
          <w:tab w:val="clear" w:pos="720"/>
          <w:tab w:val="left" w:pos="2520" w:leader="none"/>
        </w:tabs>
        <w:ind w:hanging="360" w:start="2520" w:end="0"/>
        <w:rPr/>
      </w:pPr>
      <w:r>
        <w:rPr/>
        <w:t xml:space="preserve">develop a cost allocation method that is objective, non-discriminatory, weighs environmental and societal risk, and associates costs with benefits;  </w:t>
      </w:r>
    </w:p>
    <w:p>
      <w:pPr>
        <w:pStyle w:val="Normal"/>
        <w:numPr>
          <w:ilvl w:val="0"/>
          <w:numId w:val="6"/>
        </w:numPr>
        <w:tabs>
          <w:tab w:val="clear" w:pos="720"/>
          <w:tab w:val="left" w:pos="2520" w:leader="none"/>
        </w:tabs>
        <w:ind w:hanging="360" w:start="2520" w:end="0"/>
        <w:rPr/>
      </w:pPr>
      <w:r>
        <w:rPr/>
        <w:t>allow wholesale market prices to be moderated by competition; and</w:t>
      </w:r>
    </w:p>
    <w:p>
      <w:pPr>
        <w:pStyle w:val="Normal"/>
        <w:numPr>
          <w:ilvl w:val="0"/>
          <w:numId w:val="6"/>
        </w:numPr>
        <w:tabs>
          <w:tab w:val="clear" w:pos="720"/>
          <w:tab w:val="left" w:pos="2520" w:leader="none"/>
        </w:tabs>
        <w:ind w:hanging="360" w:start="2520" w:end="0"/>
        <w:rPr/>
      </w:pPr>
      <w:r>
        <w:rPr/>
        <w:t>assure adequate resources in all regions of the nation.</w:t>
      </w:r>
    </w:p>
    <w:p>
      <w:pPr>
        <w:pStyle w:val="Normal"/>
        <w:ind w:start="720" w:end="0"/>
        <w:rPr/>
      </w:pPr>
      <w:r>
        <w:rPr/>
      </w:r>
    </w:p>
    <w:p>
      <w:pPr>
        <w:pStyle w:val="BodyTextIndent"/>
        <w:numPr>
          <w:ilvl w:val="0"/>
          <w:numId w:val="17"/>
        </w:numPr>
        <w:rPr/>
      </w:pPr>
      <w:r>
        <w:rPr/>
        <w:t>Congress should support the states’ authority over local distribution utilities to provide interconnection arrangements for self</w:t>
        <w:noBreakHyphen/>
        <w:t>generation and generation units that utilize the local distribution network.</w:t>
      </w:r>
    </w:p>
    <w:p>
      <w:pPr>
        <w:pStyle w:val="Normal"/>
        <w:ind w:start="1440" w:end="0"/>
        <w:rPr/>
      </w:pPr>
      <w:r>
        <w:rPr/>
      </w:r>
    </w:p>
    <w:p>
      <w:pPr>
        <w:pStyle w:val="Footer"/>
        <w:tabs>
          <w:tab w:val="clear" w:pos="4320"/>
          <w:tab w:val="clear" w:pos="8640"/>
        </w:tabs>
        <w:ind w:start="720" w:end="0"/>
        <w:rPr>
          <w:b/>
        </w:rPr>
      </w:pPr>
      <w:r>
        <w:rPr>
          <w:b/>
        </w:rPr>
        <w:t>C.</w:t>
        <w:tab/>
        <w:t>Reliability</w:t>
      </w:r>
    </w:p>
    <w:p>
      <w:pPr>
        <w:pStyle w:val="BodyTextIndent"/>
        <w:ind w:start="1080" w:end="0"/>
        <w:rPr>
          <w:b/>
        </w:rPr>
      </w:pPr>
      <w:r>
        <w:rPr>
          <w:b/>
        </w:rPr>
      </w:r>
    </w:p>
    <w:p>
      <w:pPr>
        <w:pStyle w:val="BodyTextIndent"/>
        <w:numPr>
          <w:ilvl w:val="0"/>
          <w:numId w:val="9"/>
        </w:numPr>
        <w:tabs>
          <w:tab w:val="clear" w:pos="720"/>
          <w:tab w:val="left" w:pos="1440" w:leader="none"/>
        </w:tabs>
        <w:ind w:hanging="360" w:start="1440" w:end="0"/>
        <w:rPr/>
      </w:pPr>
      <w:r>
        <w:rPr/>
        <w:t>Congress should mandate compliance with industry-developed reliability standards on the bulk power system that includes adequate reserve margins and preserves the authority of the states to set more rigorous standards when deemed to be in the public interest.</w:t>
      </w:r>
    </w:p>
    <w:p>
      <w:pPr>
        <w:pStyle w:val="BodyTextIndent"/>
        <w:ind w:start="1800" w:end="0"/>
        <w:rPr/>
      </w:pPr>
      <w:r>
        <w:rPr/>
      </w:r>
    </w:p>
    <w:p>
      <w:pPr>
        <w:pStyle w:val="BodyTextIndent"/>
        <w:numPr>
          <w:ilvl w:val="0"/>
          <w:numId w:val="9"/>
        </w:numPr>
        <w:tabs>
          <w:tab w:val="clear" w:pos="720"/>
          <w:tab w:val="left" w:pos="1440" w:leader="none"/>
        </w:tabs>
        <w:ind w:hanging="360" w:start="1440" w:end="0"/>
        <w:rPr/>
      </w:pPr>
      <w:r>
        <w:rPr/>
        <w:t>Congress should ensure that states continue to have the authority to establish effective price signals that allow consumers to choose alternative levels of reliability and power quality.</w:t>
      </w:r>
    </w:p>
    <w:p>
      <w:pPr>
        <w:pStyle w:val="Normal"/>
        <w:tabs>
          <w:tab w:val="left" w:pos="720" w:leader="none"/>
        </w:tabs>
        <w:rPr/>
      </w:pPr>
      <w:r>
        <w:rPr/>
      </w:r>
    </w:p>
    <w:p>
      <w:pPr>
        <w:pStyle w:val="Heading7"/>
        <w:numPr>
          <w:ilvl w:val="0"/>
          <w:numId w:val="19"/>
        </w:numPr>
        <w:rPr/>
      </w:pPr>
      <w:r>
        <w:rPr/>
        <w:t>Delivery Infrastructure</w:t>
      </w:r>
    </w:p>
    <w:p>
      <w:pPr>
        <w:pStyle w:val="Normal"/>
        <w:tabs>
          <w:tab w:val="left" w:pos="720" w:leader="none"/>
        </w:tabs>
        <w:rPr/>
      </w:pPr>
      <w:r>
        <w:rPr/>
      </w:r>
    </w:p>
    <w:p>
      <w:pPr>
        <w:pStyle w:val="Normal"/>
        <w:numPr>
          <w:ilvl w:val="0"/>
          <w:numId w:val="5"/>
        </w:numPr>
        <w:tabs>
          <w:tab w:val="left" w:pos="720" w:leader="none"/>
          <w:tab w:val="left" w:pos="1440" w:leader="none"/>
        </w:tabs>
        <w:ind w:hanging="360" w:start="1440" w:end="0"/>
        <w:rPr/>
      </w:pPr>
      <w:r>
        <w:rPr/>
        <w:t>States should retain authority to site electric facilities, while Congress should support the states' authority to negotiate and enter into cooperative agreements or compacts with federal agencies and other states to facilitate the siting and construction of electric transmission facilities as well as to consider alternative solutions to such facilities, such as distributed generation and energy efficiency.</w:t>
      </w:r>
    </w:p>
    <w:p>
      <w:pPr>
        <w:pStyle w:val="Normal"/>
        <w:tabs>
          <w:tab w:val="left" w:pos="720" w:leader="none"/>
        </w:tabs>
        <w:ind w:hanging="360" w:start="1440" w:end="0"/>
        <w:rPr/>
      </w:pPr>
      <w:r>
        <w:rPr/>
      </w:r>
    </w:p>
    <w:p>
      <w:pPr>
        <w:pStyle w:val="Normal"/>
        <w:tabs>
          <w:tab w:val="left" w:pos="720" w:leader="none"/>
        </w:tabs>
        <w:ind w:hanging="360" w:start="1440" w:end="0"/>
        <w:rPr/>
      </w:pPr>
      <w:r>
        <w:rPr/>
        <w:t>2.</w:t>
        <w:tab/>
        <w:t>Congress should pursue policies that promote and ensure pipeline safety, and streamline existing siting processes to increase administrative efficiency, including the coordination of all federal, state and local participation in these processes, without relaxing substantive environmental and safety standards.</w:t>
      </w:r>
    </w:p>
    <w:p>
      <w:pPr>
        <w:pStyle w:val="Normal"/>
        <w:rPr/>
      </w:pPr>
      <w:r>
        <w:rPr/>
      </w:r>
    </w:p>
    <w:p>
      <w:pPr>
        <w:pStyle w:val="Heading2"/>
        <w:numPr>
          <w:ilvl w:val="0"/>
          <w:numId w:val="18"/>
        </w:numPr>
        <w:ind w:hanging="0" w:start="0"/>
        <w:rPr/>
      </w:pPr>
      <w:r>
        <w:rPr/>
        <w:t>Energy Markets</w:t>
      </w:r>
    </w:p>
    <w:p>
      <w:pPr>
        <w:pStyle w:val="Normal"/>
        <w:rPr/>
      </w:pPr>
      <w:r>
        <w:rPr/>
      </w:r>
    </w:p>
    <w:p>
      <w:pPr>
        <w:pStyle w:val="Heading"/>
        <w:numPr>
          <w:ilvl w:val="0"/>
          <w:numId w:val="11"/>
        </w:numPr>
        <w:jc w:val="start"/>
        <w:rPr/>
      </w:pPr>
      <w:r>
        <w:rPr/>
        <w:t xml:space="preserve">Access to Information </w:t>
      </w:r>
    </w:p>
    <w:p>
      <w:pPr>
        <w:pStyle w:val="Normal"/>
        <w:rPr>
          <w:lang w:eastAsia="en-US"/>
        </w:rPr>
      </w:pPr>
      <w:r>
        <w:rPr>
          <w:lang w:eastAsia="en-US"/>
        </w:rPr>
      </w:r>
    </w:p>
    <w:p>
      <w:pPr>
        <w:pStyle w:val="Normal"/>
        <w:ind w:hanging="360" w:start="1440" w:end="0"/>
        <w:rPr>
          <w:lang w:eastAsia="en-US"/>
        </w:rPr>
      </w:pPr>
      <w:r>
        <w:rPr>
          <w:lang w:eastAsia="en-US"/>
        </w:rPr>
        <w:t>1.</w:t>
        <w:tab/>
        <w:t>Congress should recognize that States implementing competitive retail markets and those with traditional regulatory structures, and Federal, State and regional agencies and organizations overseeing the development of wholesale energy markets require comprehensive and concise market  information; and Congress should adopt policies that safeguard public access to information necessary to enable the monitoring of these markets, while also providing protection for information demonstrated to be commercially, or otherwise, sensitive.</w:t>
      </w:r>
    </w:p>
    <w:p>
      <w:pPr>
        <w:pStyle w:val="Normal"/>
        <w:rPr>
          <w:lang w:eastAsia="en-US"/>
        </w:rPr>
      </w:pPr>
      <w:r>
        <w:rPr>
          <w:lang w:eastAsia="en-US"/>
        </w:rPr>
      </w:r>
    </w:p>
    <w:p>
      <w:pPr>
        <w:pStyle w:val="Heading"/>
        <w:numPr>
          <w:ilvl w:val="0"/>
          <w:numId w:val="11"/>
        </w:numPr>
        <w:jc w:val="start"/>
        <w:rPr/>
      </w:pPr>
      <w:r>
        <w:rPr/>
        <w:t>Retail Markets</w:t>
      </w:r>
    </w:p>
    <w:p>
      <w:pPr>
        <w:pStyle w:val="Heading"/>
        <w:ind w:start="720" w:end="0"/>
        <w:jc w:val="start"/>
        <w:rPr/>
      </w:pPr>
      <w:r>
        <w:rPr/>
      </w:r>
    </w:p>
    <w:p>
      <w:pPr>
        <w:pStyle w:val="Heading"/>
        <w:numPr>
          <w:ilvl w:val="0"/>
          <w:numId w:val="15"/>
        </w:numPr>
        <w:tabs>
          <w:tab w:val="clear" w:pos="720"/>
          <w:tab w:val="left" w:pos="1440" w:leader="none"/>
        </w:tabs>
        <w:ind w:hanging="360" w:start="1440" w:end="0"/>
        <w:jc w:val="start"/>
        <w:rPr>
          <w:b w:val="false"/>
        </w:rPr>
      </w:pPr>
      <w:r>
        <w:rPr>
          <w:b w:val="false"/>
        </w:rPr>
        <w:t>Congress should not interfere with the states’ authority over all aspects of retail service including the authority to determine just and reasonable retail rates, and those retail rates designed to encourage reductions in peak demand and to encourage demand-side management options.</w:t>
      </w:r>
    </w:p>
    <w:p>
      <w:pPr>
        <w:pStyle w:val="Heading"/>
        <w:numPr>
          <w:ilvl w:val="0"/>
          <w:numId w:val="15"/>
        </w:numPr>
        <w:tabs>
          <w:tab w:val="clear" w:pos="720"/>
          <w:tab w:val="left" w:pos="1440" w:leader="none"/>
        </w:tabs>
        <w:spacing w:before="240" w:after="0"/>
        <w:ind w:hanging="360" w:start="1440" w:end="0"/>
        <w:jc w:val="start"/>
        <w:rPr>
          <w:b w:val="false"/>
        </w:rPr>
      </w:pPr>
      <w:r>
        <w:rPr>
          <w:b w:val="false"/>
        </w:rPr>
        <w:t xml:space="preserve">Congress should not mandate retail electricity competition. </w:t>
      </w:r>
    </w:p>
    <w:p>
      <w:pPr>
        <w:pStyle w:val="Style0"/>
        <w:rPr>
          <w:rFonts w:ascii="Times New Roman" w:hAnsi="Times New Roman" w:cs="Times New Roman"/>
          <w:b/>
          <w:color w:val="000000"/>
        </w:rPr>
      </w:pPr>
      <w:r>
        <w:rPr>
          <w:rFonts w:cs="Times New Roman" w:ascii="Times New Roman" w:hAnsi="Times New Roman"/>
          <w:b/>
          <w:color w:val="000000"/>
        </w:rPr>
      </w:r>
    </w:p>
    <w:p>
      <w:pPr>
        <w:pStyle w:val="Style0"/>
        <w:numPr>
          <w:ilvl w:val="0"/>
          <w:numId w:val="11"/>
        </w:numPr>
        <w:rPr>
          <w:rFonts w:ascii="Times New Roman" w:hAnsi="Times New Roman" w:cs="Times New Roman"/>
          <w:b/>
          <w:color w:val="000000"/>
        </w:rPr>
      </w:pPr>
      <w:r>
        <w:rPr>
          <w:rFonts w:cs="Times New Roman" w:ascii="Times New Roman" w:hAnsi="Times New Roman"/>
          <w:b/>
          <w:color w:val="000000"/>
        </w:rPr>
        <w:t>Wholesale markets</w:t>
      </w:r>
    </w:p>
    <w:p>
      <w:pPr>
        <w:pStyle w:val="Style0"/>
        <w:ind w:start="1080" w:end="0"/>
        <w:rPr>
          <w:rFonts w:ascii="Times New Roman" w:hAnsi="Times New Roman" w:cs="Times New Roman"/>
          <w:b/>
          <w:color w:val="000000"/>
        </w:rPr>
      </w:pPr>
      <w:r>
        <w:rPr>
          <w:rFonts w:cs="Times New Roman" w:ascii="Times New Roman" w:hAnsi="Times New Roman"/>
          <w:b/>
          <w:color w:val="000000"/>
        </w:rPr>
      </w:r>
    </w:p>
    <w:p>
      <w:pPr>
        <w:pStyle w:val="Style0"/>
        <w:numPr>
          <w:ilvl w:val="0"/>
          <w:numId w:val="14"/>
        </w:numPr>
        <w:tabs>
          <w:tab w:val="clear" w:pos="720"/>
          <w:tab w:val="left" w:pos="1440" w:leader="none"/>
        </w:tabs>
        <w:ind w:hanging="360" w:start="1440" w:end="0"/>
        <w:rPr>
          <w:rFonts w:ascii="Times New Roman" w:hAnsi="Times New Roman" w:cs="Times New Roman"/>
        </w:rPr>
      </w:pPr>
      <w:r>
        <w:rPr>
          <w:rFonts w:cs="Times New Roman" w:ascii="Times New Roman" w:hAnsi="Times New Roman"/>
          <w:color w:val="000000"/>
        </w:rPr>
        <w:t xml:space="preserve">Congress should require the FERC to promulgate </w:t>
      </w:r>
      <w:r>
        <w:rPr>
          <w:rFonts w:cs="Times New Roman" w:ascii="Times New Roman" w:hAnsi="Times New Roman"/>
        </w:rPr>
        <w:t xml:space="preserve">clear and consistently applied market rules that foster investment in generation, transmission and demand-side management resources.  </w:t>
      </w:r>
    </w:p>
    <w:p>
      <w:pPr>
        <w:pStyle w:val="Style0"/>
        <w:ind w:start="1080" w:end="0"/>
        <w:rPr>
          <w:rFonts w:ascii="Times New Roman" w:hAnsi="Times New Roman" w:cs="Times New Roman"/>
        </w:rPr>
      </w:pPr>
      <w:r>
        <w:rPr>
          <w:rFonts w:cs="Times New Roman" w:ascii="Times New Roman" w:hAnsi="Times New Roman"/>
        </w:rPr>
      </w:r>
    </w:p>
    <w:p>
      <w:pPr>
        <w:pStyle w:val="Style0"/>
        <w:numPr>
          <w:ilvl w:val="0"/>
          <w:numId w:val="14"/>
        </w:numPr>
        <w:tabs>
          <w:tab w:val="clear" w:pos="720"/>
          <w:tab w:val="left" w:pos="1440" w:leader="none"/>
        </w:tabs>
        <w:ind w:hanging="360" w:start="1440" w:end="0"/>
        <w:rPr>
          <w:rFonts w:ascii="Times New Roman" w:hAnsi="Times New Roman" w:cs="Times New Roman"/>
        </w:rPr>
      </w:pPr>
      <w:r>
        <w:rPr>
          <w:rFonts w:cs="Times New Roman" w:ascii="Times New Roman" w:hAnsi="Times New Roman"/>
        </w:rPr>
        <w:t>Congress should mandate effective and independent monitoring of the wholesale electricity markets and empower the relevant states and federal agencies with authority to investigate, enforce, and remedy problems resulting from the exercise of market power or other abusive behavior that distorts market operations through the use of structural remedies, codes of conduct, or affiliate rules.</w:t>
      </w:r>
    </w:p>
    <w:p>
      <w:pPr>
        <w:pStyle w:val="Style0"/>
        <w:rPr>
          <w:rFonts w:ascii="Times New Roman" w:hAnsi="Times New Roman" w:cs="Times New Roman"/>
        </w:rPr>
      </w:pPr>
      <w:r>
        <w:rPr>
          <w:rFonts w:cs="Times New Roman" w:ascii="Times New Roman" w:hAnsi="Times New Roman"/>
        </w:rPr>
      </w:r>
    </w:p>
    <w:p>
      <w:pPr>
        <w:pStyle w:val="Style0"/>
        <w:numPr>
          <w:ilvl w:val="0"/>
          <w:numId w:val="14"/>
        </w:numPr>
        <w:tabs>
          <w:tab w:val="clear" w:pos="720"/>
          <w:tab w:val="left" w:pos="1440" w:leader="none"/>
        </w:tabs>
        <w:ind w:hanging="360" w:start="1440" w:end="0"/>
        <w:rPr>
          <w:rFonts w:ascii="Times New Roman" w:hAnsi="Times New Roman" w:cs="Times New Roman"/>
        </w:rPr>
      </w:pPr>
      <w:r>
        <w:rPr>
          <w:rFonts w:cs="Times New Roman" w:ascii="Times New Roman" w:hAnsi="Times New Roman"/>
        </w:rPr>
        <w:t>Congress should preserve a state’s ability to require that a utility’s retained generation be used to serve native load.</w:t>
      </w:r>
    </w:p>
    <w:p>
      <w:pPr>
        <w:pStyle w:val="Style0"/>
        <w:tabs>
          <w:tab w:val="left" w:pos="720" w:leader="none"/>
          <w:tab w:val="left" w:pos="144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Heading2"/>
        <w:numPr>
          <w:ilvl w:val="0"/>
          <w:numId w:val="18"/>
        </w:numPr>
        <w:ind w:hanging="0" w:start="0"/>
        <w:rPr/>
      </w:pPr>
      <w:r>
        <w:rPr/>
        <w:t>ENVIRONMENTAL PROTECTION</w:t>
      </w:r>
    </w:p>
    <w:p>
      <w:pPr>
        <w:pStyle w:val="Style0"/>
        <w:tabs>
          <w:tab w:val="left" w:pos="720" w:leader="none"/>
          <w:tab w:val="left" w:pos="144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rPr>
      </w:pPr>
      <w:r>
        <w:rPr>
          <w:rFonts w:cs="Times New Roman" w:ascii="Times New Roman" w:hAnsi="Times New Roman"/>
          <w:b/>
        </w:rPr>
      </w:r>
    </w:p>
    <w:p>
      <w:pPr>
        <w:pStyle w:val="Style0"/>
        <w:numPr>
          <w:ilvl w:val="0"/>
          <w:numId w:val="16"/>
        </w:numPr>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rPr>
          <w:rFonts w:ascii="Times New Roman" w:hAnsi="Times New Roman" w:cs="Times New Roman"/>
          <w:color w:val="000000"/>
        </w:rPr>
      </w:pPr>
      <w:r>
        <w:rPr>
          <w:rFonts w:cs="Times New Roman" w:ascii="Times New Roman" w:hAnsi="Times New Roman"/>
          <w:color w:val="000000"/>
        </w:rPr>
        <w:t xml:space="preserve">Congress should assure that state and federal energy and environmental policies be coordinated and complementary.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rFonts w:ascii="Times New Roman" w:hAnsi="Times New Roman" w:cs="Times New Roman"/>
          <w:color w:val="000000"/>
        </w:rPr>
      </w:pPr>
      <w:r>
        <w:rPr>
          <w:rFonts w:cs="Times New Roman" w:ascii="Times New Roman" w:hAnsi="Times New Roman"/>
          <w:color w:val="000000"/>
        </w:rPr>
      </w:r>
    </w:p>
    <w:p>
      <w:pPr>
        <w:pStyle w:val="Style0"/>
        <w:numPr>
          <w:ilvl w:val="0"/>
          <w:numId w:val="16"/>
        </w:numPr>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rPr>
          <w:rFonts w:ascii="Times New Roman" w:hAnsi="Times New Roman" w:cs="Times New Roman"/>
          <w:color w:val="000000"/>
        </w:rPr>
      </w:pPr>
      <w:r>
        <w:rPr>
          <w:rFonts w:cs="Times New Roman" w:ascii="Times New Roman" w:hAnsi="Times New Roman"/>
          <w:color w:val="000000"/>
        </w:rPr>
        <w:t>Congress should address air emissions, including carbon dioxide emissions, from all electric power generation in ways that: 1) minimize adverse environmental impacts; 2) are comprehensive and synchronized to reduce regulatory costs; 3) rely, to the extent possible, on market-based trading mechanisms, and 4) identify, to the extent possible, the net impact of resource decisions, including external factors, on public health, the environment and the economy.</w:t>
      </w:r>
    </w:p>
    <w:p>
      <w:pPr>
        <w:pStyle w:val="Heading"/>
        <w:ind w:start="0" w:end="0"/>
        <w:jc w:val="start"/>
        <w:rPr>
          <w:rFonts w:ascii="Times New Roman" w:hAnsi="Times New Roman" w:cs="Times New Roman"/>
          <w:b w:val="false"/>
          <w:color w:val="000000"/>
        </w:rPr>
      </w:pPr>
      <w:r>
        <w:rPr>
          <w:rFonts w:cs="Times New Roman"/>
          <w:b w:val="false"/>
          <w:color w:val="000000"/>
        </w:rPr>
      </w:r>
    </w:p>
    <w:p>
      <w:pPr>
        <w:pStyle w:val="Heading"/>
        <w:numPr>
          <w:ilvl w:val="0"/>
          <w:numId w:val="16"/>
        </w:numPr>
        <w:tabs>
          <w:tab w:val="left" w:pos="720" w:leader="none"/>
        </w:tabs>
        <w:ind w:hanging="360" w:start="720" w:end="0"/>
        <w:jc w:val="start"/>
        <w:rPr>
          <w:b w:val="false"/>
        </w:rPr>
      </w:pPr>
      <w:r>
        <w:rPr>
          <w:b w:val="false"/>
        </w:rPr>
        <w:t>Congress should assist states and utilities to establish programs to phase out power plants grandfathered under the Clean Air Act with new facilities that utilize clean coal technology or other means in a way that preserves the integrity of the bulk power system and minimizes the economic impact on local areas.</w:t>
      </w:r>
    </w:p>
    <w:p>
      <w:pPr>
        <w:pStyle w:val="Heading"/>
        <w:ind w:start="0" w:end="0"/>
        <w:jc w:val="start"/>
        <w:rPr>
          <w:b w:val="false"/>
        </w:rPr>
      </w:pPr>
      <w:r>
        <w:rPr>
          <w:b w:val="false"/>
        </w:rPr>
      </w:r>
    </w:p>
    <w:p>
      <w:pPr>
        <w:pStyle w:val="Heading2"/>
        <w:numPr>
          <w:ilvl w:val="0"/>
          <w:numId w:val="0"/>
        </w:numPr>
        <w:ind w:hanging="720" w:start="720" w:end="0"/>
        <w:rPr/>
      </w:pPr>
      <w:r>
        <w:rPr/>
        <w:t xml:space="preserve">VII.    CONSUMER PROTECTION </w:t>
      </w:r>
    </w:p>
    <w:p>
      <w:pPr>
        <w:pStyle w:val="BodyTextIndent3"/>
        <w:tabs>
          <w:tab w:val="clear" w:pos="720"/>
          <w:tab w:val="left" w:pos="2160" w:leader="none"/>
        </w:tabs>
        <w:ind w:start="0" w:end="0"/>
        <w:rPr/>
      </w:pPr>
      <w:r>
        <w:rPr/>
      </w:r>
    </w:p>
    <w:p>
      <w:pPr>
        <w:pStyle w:val="BodyTextIndent3"/>
        <w:numPr>
          <w:ilvl w:val="0"/>
          <w:numId w:val="8"/>
        </w:numPr>
        <w:tabs>
          <w:tab w:val="left" w:pos="720" w:leader="none"/>
        </w:tabs>
        <w:ind w:hanging="360" w:start="720" w:end="0"/>
        <w:rPr/>
      </w:pPr>
      <w:r>
        <w:rPr/>
        <w:t>Congress should not limit state authority to prescribe and enforce laws, regulations or procedures regarding consumer protection.</w:t>
      </w:r>
    </w:p>
    <w:p>
      <w:pPr>
        <w:pStyle w:val="Normal"/>
        <w:ind w:start="1080" w:end="0"/>
        <w:rPr/>
      </w:pPr>
      <w:r>
        <w:rPr/>
      </w:r>
    </w:p>
    <w:p>
      <w:pPr>
        <w:pStyle w:val="BodyTextIndent"/>
        <w:numPr>
          <w:ilvl w:val="0"/>
          <w:numId w:val="8"/>
        </w:numPr>
        <w:tabs>
          <w:tab w:val="left" w:pos="720" w:leader="none"/>
        </w:tabs>
        <w:ind w:hanging="360" w:start="720" w:end="0"/>
        <w:rPr/>
      </w:pPr>
      <w:r>
        <w:rPr/>
        <w:t>Congress should reinforce the states’ authority to require all load serving entities to disclose generation and accompanying environmental impacts.</w:t>
      </w:r>
    </w:p>
    <w:p>
      <w:pPr>
        <w:pStyle w:val="BodyTextIndent"/>
        <w:ind w:start="1080" w:end="0"/>
        <w:rPr/>
      </w:pPr>
      <w:r>
        <w:rPr/>
      </w:r>
    </w:p>
    <w:p>
      <w:pPr>
        <w:pStyle w:val="BodyTextIndent"/>
        <w:numPr>
          <w:ilvl w:val="0"/>
          <w:numId w:val="8"/>
        </w:numPr>
        <w:tabs>
          <w:tab w:val="left" w:pos="720" w:leader="none"/>
        </w:tabs>
        <w:ind w:hanging="360" w:start="720" w:end="0"/>
        <w:rPr/>
      </w:pPr>
      <w:r>
        <w:rPr/>
        <w:t xml:space="preserve">Congress should address the preservation of public benefits in any electric industry restructuring legislation.  Societal costs and benefits should be studied prior to the adoption of any particular implementation or funding mechanism.  </w:t>
      </w:r>
    </w:p>
    <w:p>
      <w:pPr>
        <w:pStyle w:val="Normal"/>
        <w:ind w:start="1800" w:end="0"/>
        <w:rPr/>
      </w:pPr>
      <w:r>
        <w:rPr/>
      </w:r>
    </w:p>
    <w:p>
      <w:pPr>
        <w:pStyle w:val="Normal"/>
        <w:numPr>
          <w:ilvl w:val="0"/>
          <w:numId w:val="8"/>
        </w:numPr>
        <w:tabs>
          <w:tab w:val="left" w:pos="720" w:leader="none"/>
        </w:tabs>
        <w:ind w:hanging="360" w:start="720" w:end="0"/>
        <w:rPr/>
      </w:pPr>
      <w:r>
        <w:rPr/>
        <w:t>Congress should require regional transmission organizations, system operators, reliability counsels and other regional agencies to adopt policies that allow public access to information necessary to enable adequate monitoring of energy markets, while also providing protection for information demonstrated to be commercially sensitive.</w:t>
      </w:r>
    </w:p>
    <w:p>
      <w:pPr>
        <w:pStyle w:val="Normal"/>
        <w:rPr/>
      </w:pPr>
      <w:r>
        <w:rPr/>
      </w:r>
    </w:p>
    <w:p>
      <w:pPr>
        <w:pStyle w:val="Normal"/>
        <w:numPr>
          <w:ilvl w:val="0"/>
          <w:numId w:val="8"/>
        </w:numPr>
        <w:tabs>
          <w:tab w:val="left" w:pos="720" w:leader="none"/>
        </w:tabs>
        <w:ind w:hanging="360" w:start="720" w:end="0"/>
        <w:rPr/>
      </w:pPr>
      <w:r>
        <w:rPr/>
        <w:t>Congress should reform the Public Utility Holding Company Act (PUHCA), but, in doing so, should allow the states to protect the public through maintaining effective oversight of holding company practices and expanding state access to holding company books and records, independent of any similar authorities granted to the Federal Energy Regulatory Commission.</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1:30 PM EST</w:t>
      <w:tab/>
      <w:tab/>
      <w:tab/>
      <w:tab/>
      <w:tab/>
    </w:r>
  </w:p>
  <w:p>
    <w:pPr>
      <w:pStyle w:val="Header"/>
      <w:rPr/>
    </w:pPr>
    <w:r>
      <w:rPr/>
      <w:t>11/05/01</w:t>
      <w:tab/>
      <w:t>FINAL DRAFT</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upperLetter"/>
      <w:lvlText w:val="%1."/>
      <w:lvlJc w:val="start"/>
      <w:pPr>
        <w:tabs>
          <w:tab w:val="num" w:pos="360"/>
        </w:tabs>
        <w:ind w:start="360" w:hanging="360"/>
      </w:pPr>
    </w:lvl>
  </w:abstractNum>
  <w:abstractNum w:abstractNumId="4">
    <w:lvl w:ilvl="0">
      <w:start w:val="2"/>
      <w:numFmt w:val="upperLetter"/>
      <w:lvlText w:val="%1."/>
      <w:lvlJc w:val="start"/>
      <w:pPr>
        <w:tabs>
          <w:tab w:val="num" w:pos="1080"/>
        </w:tabs>
        <w:ind w:start="1080" w:hanging="360"/>
      </w:pPr>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lowerLetter"/>
      <w:lvlText w:val="(%1)"/>
      <w:lvlJc w:val="start"/>
      <w:pPr>
        <w:tabs>
          <w:tab w:val="num" w:pos="360"/>
        </w:tabs>
        <w:ind w:start="360" w:hanging="360"/>
      </w:pPr>
    </w:lvl>
  </w:abstractNum>
  <w:abstractNum w:abstractNumId="7">
    <w:lvl w:ilvl="0">
      <w:start w:val="3"/>
      <w:numFmt w:val="decimal"/>
      <w:lvlText w:val="%1."/>
      <w:lvlJc w:val="start"/>
      <w:pPr>
        <w:tabs>
          <w:tab w:val="num" w:pos="1440"/>
        </w:tabs>
        <w:ind w:start="1440" w:hanging="720"/>
      </w:pPr>
      <w:rPr/>
    </w:lvl>
  </w:abstractNum>
  <w:abstractNum w:abstractNumId="8">
    <w:lvl w:ilvl="0">
      <w:start w:val="1"/>
      <w:numFmt w:val="upperLetter"/>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upperLetter"/>
      <w:lvlText w:val="%1."/>
      <w:lvlJc w:val="start"/>
      <w:pPr>
        <w:tabs>
          <w:tab w:val="num" w:pos="1080"/>
        </w:tabs>
        <w:ind w:start="1080" w:hanging="360"/>
      </w:pPr>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648"/>
        </w:tabs>
        <w:ind w:start="648" w:hanging="360"/>
      </w:pPr>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upperLetter"/>
      <w:lvlText w:val="%1."/>
      <w:lvlJc w:val="start"/>
      <w:pPr>
        <w:tabs>
          <w:tab w:val="num" w:pos="360"/>
        </w:tabs>
        <w:ind w:start="360" w:hanging="360"/>
      </w:pPr>
    </w:lvl>
  </w:abstractNum>
  <w:abstractNum w:abstractNumId="17">
    <w:lvl w:ilvl="0">
      <w:start w:val="2"/>
      <w:numFmt w:val="decimal"/>
      <w:lvlText w:val="%1."/>
      <w:lvlJc w:val="start"/>
      <w:pPr>
        <w:tabs>
          <w:tab w:val="num" w:pos="1800"/>
        </w:tabs>
        <w:ind w:start="1800" w:hanging="360"/>
      </w:pPr>
      <w:rPr/>
    </w:lvl>
  </w:abstractNum>
  <w:abstractNum w:abstractNumId="18">
    <w:lvl w:ilvl="0">
      <w:start w:val="3"/>
      <w:numFmt w:val="upperRoman"/>
      <w:lvlText w:val="%1."/>
      <w:lvlJc w:val="start"/>
      <w:pPr>
        <w:tabs>
          <w:tab w:val="num" w:pos="720"/>
        </w:tabs>
        <w:ind w:start="720" w:hanging="720"/>
      </w:pPr>
      <w:rPr/>
    </w:lvl>
    <w:lvl w:ilvl="1">
      <w:start w:val="1"/>
      <w:numFmt w:val="lowerLetter"/>
      <w:lvlText w:val="%2."/>
      <w:lvlJc w:val="start"/>
      <w:pPr>
        <w:tabs>
          <w:tab w:val="num" w:pos="3300"/>
        </w:tabs>
        <w:ind w:start="3300" w:hanging="360"/>
      </w:pPr>
    </w:lvl>
    <w:lvl w:ilvl="2">
      <w:start w:val="1"/>
      <w:numFmt w:val="lowerRoman"/>
      <w:lvlText w:val="%3."/>
      <w:lvlJc w:val="end"/>
      <w:pPr>
        <w:tabs>
          <w:tab w:val="num" w:pos="4020"/>
        </w:tabs>
        <w:ind w:start="4020" w:hanging="180"/>
      </w:pPr>
    </w:lvl>
    <w:lvl w:ilvl="3">
      <w:start w:val="1"/>
      <w:numFmt w:val="decimal"/>
      <w:lvlText w:val="%4."/>
      <w:lvlJc w:val="start"/>
      <w:pPr>
        <w:tabs>
          <w:tab w:val="num" w:pos="4740"/>
        </w:tabs>
        <w:ind w:start="4740" w:hanging="360"/>
      </w:pPr>
    </w:lvl>
    <w:lvl w:ilvl="4">
      <w:start w:val="1"/>
      <w:numFmt w:val="lowerLetter"/>
      <w:lvlText w:val="%5."/>
      <w:lvlJc w:val="start"/>
      <w:pPr>
        <w:tabs>
          <w:tab w:val="num" w:pos="5460"/>
        </w:tabs>
        <w:ind w:start="5460" w:hanging="360"/>
      </w:pPr>
    </w:lvl>
    <w:lvl w:ilvl="5">
      <w:start w:val="1"/>
      <w:numFmt w:val="lowerRoman"/>
      <w:lvlText w:val="%6."/>
      <w:lvlJc w:val="end"/>
      <w:pPr>
        <w:tabs>
          <w:tab w:val="num" w:pos="6180"/>
        </w:tabs>
        <w:ind w:start="6180" w:hanging="180"/>
      </w:pPr>
    </w:lvl>
    <w:lvl w:ilvl="6">
      <w:start w:val="1"/>
      <w:numFmt w:val="decimal"/>
      <w:lvlText w:val="%7."/>
      <w:lvlJc w:val="start"/>
      <w:pPr>
        <w:tabs>
          <w:tab w:val="num" w:pos="6900"/>
        </w:tabs>
        <w:ind w:start="6900" w:hanging="360"/>
      </w:pPr>
    </w:lvl>
    <w:lvl w:ilvl="7">
      <w:start w:val="1"/>
      <w:numFmt w:val="lowerLetter"/>
      <w:lvlText w:val="%8."/>
      <w:lvlJc w:val="start"/>
      <w:pPr>
        <w:tabs>
          <w:tab w:val="num" w:pos="7620"/>
        </w:tabs>
        <w:ind w:start="7620" w:hanging="360"/>
      </w:pPr>
    </w:lvl>
    <w:lvl w:ilvl="8">
      <w:start w:val="1"/>
      <w:numFmt w:val="lowerRoman"/>
      <w:lvlText w:val="%9."/>
      <w:lvlJc w:val="end"/>
      <w:pPr>
        <w:tabs>
          <w:tab w:val="num" w:pos="8340"/>
        </w:tabs>
        <w:ind w:start="8340" w:hanging="180"/>
      </w:pPr>
    </w:lvl>
  </w:abstractNum>
  <w:abstractNum w:abstractNumId="19">
    <w:lvl w:ilvl="0">
      <w:start w:val="4"/>
      <w:numFmt w:val="upp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rPr>
  </w:style>
  <w:style w:type="paragraph" w:styleId="Heading2">
    <w:name w:val="heading 2"/>
    <w:basedOn w:val="Normal"/>
    <w:next w:val="Normal"/>
    <w:qFormat/>
    <w:pPr>
      <w:keepNext w:val="true"/>
      <w:numPr>
        <w:ilvl w:val="0"/>
        <w:numId w:val="18"/>
      </w:numPr>
      <w:outlineLvl w:val="1"/>
    </w:pPr>
    <w:rPr>
      <w:rFonts w:ascii="Times New Roman" w:hAnsi="Times New Roman" w:cs="Times New Roman"/>
      <w:b/>
      <w:sz w:val="32"/>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sz w:val="22"/>
    </w:rPr>
  </w:style>
  <w:style w:type="paragraph" w:styleId="Heading4">
    <w:name w:val="heading 4"/>
    <w:basedOn w:val="Normal"/>
    <w:next w:val="Normal"/>
    <w:qFormat/>
    <w:pPr>
      <w:keepNext w:val="true"/>
      <w:numPr>
        <w:ilvl w:val="0"/>
        <w:numId w:val="13"/>
      </w:numPr>
      <w:tabs>
        <w:tab w:val="left" w:pos="720" w:leader="none"/>
        <w:tab w:val="left" w:pos="1440" w:leader="none"/>
        <w:tab w:val="left" w:pos="2160" w:leader="none"/>
        <w:tab w:val="left" w:pos="2880" w:leader="none"/>
        <w:tab w:val="left" w:pos="3600" w:leader="none"/>
        <w:tab w:val="left" w:pos="4320" w:leader="none"/>
      </w:tabs>
      <w:ind w:hanging="720" w:start="720" w:end="0"/>
      <w:outlineLvl w:val="3"/>
    </w:pPr>
    <w:rPr>
      <w:u w:val="single"/>
    </w:rPr>
  </w:style>
  <w:style w:type="paragraph" w:styleId="Heading5">
    <w:name w:val="heading 5"/>
    <w:basedOn w:val="Normal"/>
    <w:next w:val="Normal"/>
    <w:qFormat/>
    <w:pPr>
      <w:keepNext w:val="true"/>
      <w:numPr>
        <w:ilvl w:val="4"/>
        <w:numId w:val="1"/>
      </w:numPr>
      <w:ind w:hanging="0" w:start="720" w:end="0"/>
      <w:outlineLvl w:val="4"/>
    </w:pPr>
    <w:rPr>
      <w:b/>
    </w:rPr>
  </w:style>
  <w:style w:type="paragraph" w:styleId="Heading6">
    <w:name w:val="heading 6"/>
    <w:basedOn w:val="Normal"/>
    <w:next w:val="Normal"/>
    <w:qFormat/>
    <w:pPr>
      <w:keepNext w:val="true"/>
      <w:numPr>
        <w:ilvl w:val="0"/>
        <w:numId w:val="4"/>
      </w:numPr>
      <w:outlineLvl w:val="5"/>
    </w:pPr>
    <w:rPr>
      <w:b/>
    </w:rPr>
  </w:style>
  <w:style w:type="paragraph" w:styleId="Heading7">
    <w:name w:val="heading 7"/>
    <w:basedOn w:val="Normal"/>
    <w:next w:val="Normal"/>
    <w:qFormat/>
    <w:pPr>
      <w:keepNext w:val="true"/>
      <w:numPr>
        <w:ilvl w:val="0"/>
        <w:numId w:val="19"/>
      </w:numPr>
      <w:tabs>
        <w:tab w:val="clear" w:pos="720"/>
        <w:tab w:val="left" w:pos="1440" w:leader="none"/>
      </w:tabs>
      <w:ind w:hanging="0" w:start="1440" w:end="0"/>
      <w:outlineLvl w:val="6"/>
    </w:pPr>
    <w:rPr>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i w:val="false"/>
    </w:rPr>
  </w:style>
  <w:style w:type="character" w:styleId="WW8Num15z0">
    <w:name w:val="WW8Num15z0"/>
    <w:qFormat/>
    <w:rPr>
      <w:rFonts w:ascii="Symbol" w:hAnsi="Symbol" w:cs="Symbol"/>
    </w:rPr>
  </w:style>
  <w:style w:type="character" w:styleId="WW8Num16z0">
    <w:name w:val="WW8Num16z0"/>
    <w:qFormat/>
    <w:rPr/>
  </w:style>
  <w:style w:type="character" w:styleId="WW8Num19z0">
    <w:name w:val="WW8Num19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color w:val="000000"/>
    </w:rPr>
  </w:style>
  <w:style w:type="character" w:styleId="WW8Num29z0">
    <w:name w:val="WW8Num29z0"/>
    <w:qFormat/>
    <w:rPr/>
  </w:style>
  <w:style w:type="character" w:styleId="WW8Num30z0">
    <w:name w:val="WW8Num30z0"/>
    <w:qFormat/>
    <w:rPr/>
  </w:style>
  <w:style w:type="character" w:styleId="WW8Num32z0">
    <w:name w:val="WW8Num32z0"/>
    <w:qFormat/>
    <w:rPr/>
  </w:style>
  <w:style w:type="character" w:styleId="WW8Num33z0">
    <w:name w:val="WW8Num33z0"/>
    <w:qFormat/>
    <w:rPr/>
  </w:style>
  <w:style w:type="character" w:styleId="WW8Num35z0">
    <w:name w:val="WW8Num35z0"/>
    <w:qFormat/>
    <w:rPr>
      <w:rFonts w:ascii="Symbol" w:hAnsi="Symbol" w:cs="Symbol"/>
    </w:rPr>
  </w:style>
  <w:style w:type="character" w:styleId="WW8Num36z0">
    <w:name w:val="WW8Num36z0"/>
    <w:qFormat/>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style>
  <w:style w:type="character" w:styleId="WW8Num55z0">
    <w:name w:val="WW8Num55z0"/>
    <w:qFormat/>
    <w:rPr>
      <w:rFonts w:ascii="Symbol" w:hAnsi="Symbol" w:cs="Symbol"/>
    </w:rPr>
  </w:style>
  <w:style w:type="character" w:styleId="WW8Num56z0">
    <w:name w:val="WW8Num56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Symbol"/>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80z0">
    <w:name w:val="WW8Num80z0"/>
    <w:qFormat/>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sz w:val="32"/>
    </w:rPr>
  </w:style>
  <w:style w:type="character" w:styleId="WW8Num98z0">
    <w:name w:val="WW8Num98z0"/>
    <w:qFormat/>
    <w:rPr>
      <w:rFonts w:ascii="Symbol" w:hAnsi="Symbol" w:cs="Symbol"/>
    </w:rPr>
  </w:style>
  <w:style w:type="character" w:styleId="WW8Num99z0">
    <w:name w:val="WW8Num99z0"/>
    <w:qFormat/>
    <w:rPr/>
  </w:style>
  <w:style w:type="character" w:styleId="WW8Num102z0">
    <w:name w:val="WW8Num102z0"/>
    <w:qFormat/>
    <w:rPr/>
  </w:style>
  <w:style w:type="character" w:styleId="WW8Num104z0">
    <w:name w:val="WW8Num104z0"/>
    <w:qFormat/>
    <w:rPr>
      <w:rFonts w:ascii="Symbol" w:hAnsi="Symbol" w:cs="Symbol"/>
    </w:rPr>
  </w:style>
  <w:style w:type="character" w:styleId="WW8Num105z0">
    <w:name w:val="WW8Num105z0"/>
    <w:qFormat/>
    <w:rPr>
      <w:color w:val="auto"/>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style>
  <w:style w:type="character" w:styleId="WW8Num114z0">
    <w:name w:val="WW8Num114z0"/>
    <w:qFormat/>
    <w:rPr>
      <w:color w:val="000000"/>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style>
  <w:style w:type="character" w:styleId="WW8Num118z0">
    <w:name w:val="WW8Num118z0"/>
    <w:qFormat/>
    <w:rPr/>
  </w:style>
  <w:style w:type="character" w:styleId="WW8Num119z0">
    <w:name w:val="WW8Num119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style>
  <w:style w:type="character" w:styleId="WW8Num140z0">
    <w:name w:val="WW8Num140z0"/>
    <w:qFormat/>
    <w:rPr/>
  </w:style>
  <w:style w:type="character" w:styleId="WW8Num141z0">
    <w:name w:val="WW8Num141z0"/>
    <w:qFormat/>
    <w:rPr>
      <w:rFonts w:ascii="Symbol" w:hAnsi="Symbol" w:cs="Symbol"/>
    </w:rPr>
  </w:style>
  <w:style w:type="character" w:styleId="WW8Num142z0">
    <w:name w:val="WW8Num14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0" w:start="360" w:end="0"/>
      <w:jc w:val="center"/>
    </w:pPr>
    <w:rPr>
      <w:rFonts w:ascii="Times New Roman" w:hAnsi="Times New Roman" w:cs="Times New Roman"/>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BodyTextIndent">
    <w:name w:val="Body Text Indent"/>
    <w:basedOn w:val="Normal"/>
    <w:pPr>
      <w:ind w:hanging="0" w:start="720" w:end="0"/>
    </w:pPr>
    <w:rPr>
      <w:rFonts w:ascii="Times New Roman" w:hAnsi="Times New Roman" w:cs="Times New Roman"/>
      <w:color w:val="000000"/>
    </w:rPr>
  </w:style>
  <w:style w:type="paragraph" w:styleId="BodyTextIndent2">
    <w:name w:val="Body Text Indent 2"/>
    <w:basedOn w:val="Normal"/>
    <w:qFormat/>
    <w:pPr>
      <w:tabs>
        <w:tab w:val="clear" w:pos="720"/>
        <w:tab w:val="left" w:pos="1440" w:leader="none"/>
      </w:tabs>
      <w:ind w:firstLine="360" w:start="600" w:end="0"/>
    </w:pPr>
    <w:rPr>
      <w:rFonts w:ascii="Times New Roman" w:hAnsi="Times New Roman" w:cs="Times New Roman"/>
    </w:rPr>
  </w:style>
  <w:style w:type="paragraph" w:styleId="BodyTextIndent3">
    <w:name w:val="Body Text Indent 3"/>
    <w:basedOn w:val="Normal"/>
    <w:qFormat/>
    <w:pPr>
      <w:ind w:hanging="0" w:start="2160" w:end="0"/>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Style0">
    <w:name w:val="Style0"/>
    <w:qFormat/>
    <w:pPr>
      <w:widowControl/>
      <w:bidi w:val="0"/>
    </w:pPr>
    <w:rPr>
      <w:rFonts w:ascii="Arial" w:hAnsi="Arial" w:eastAsia="Times New Roman" w:cs="Arial"/>
      <w:color w:val="auto"/>
      <w:sz w:val="24"/>
      <w:szCs w:val="20"/>
      <w:lang w:val="en-US" w:eastAsia="zh-CN" w:bidi="hi-I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2001-11-05T15:16:00Z</dcterms:created>
  <dc:creator>karlak</dc:creator>
  <dc:description/>
  <dc:language>en-CA</dc:language>
  <cp:lastModifiedBy>crocker</cp:lastModifiedBy>
  <cp:lastPrinted>2001-10-16T11:18:00Z</cp:lastPrinted>
  <dcterms:modified xsi:type="dcterms:W3CDTF">2001-11-05T15:16:00Z</dcterms:modified>
  <cp:revision>2</cp:revision>
  <dc:subject/>
  <dc:title>“SECTION TWO”</dc:title>
</cp:coreProperties>
</file>