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tabs>
          <w:tab w:val="clear" w:pos="360"/>
          <w:tab w:val="left" w:pos="540" w:leader="none"/>
        </w:tabs>
        <w:spacing w:lineRule="auto" w:line="360" w:before="0" w:after="12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w:t>
        <w:tab/>
        <w:t>Introduction</w:t>
      </w:r>
    </w:p>
    <w:p>
      <w:pPr>
        <w:pStyle w:val="PlainText"/>
        <w:spacing w:lineRule="auto" w:line="360" w:before="0" w:after="120"/>
        <w:ind w:firstLine="547" w:end="0"/>
        <w:rPr/>
      </w:pPr>
      <w:r>
        <w:rPr>
          <w:rFonts w:eastAsia="Times New Roman" w:cs="Times New Roman" w:ascii="Times New Roman" w:hAnsi="Times New Roman"/>
          <w:sz w:val="24"/>
          <w:szCs w:val="24"/>
        </w:rPr>
        <w:t>I am the director of Revenue Management Services for Southern California Gas Company ("SoCalGas") and sponsoring the portion of the April 17, 2000 Comprehensive Settlement Agreement (“Settlement Agreement”) relating to retail natural gas issues in the California Public Utilities Commission’s  (“Commission”) Order Instituting Investigation (OII.99-07-003).  I was personally involved in the negotiations involving retail issues in the Settlement Agreement between SoCalGas, San Diego Gas and Electric Company (“SDG&amp;E”) and many other parties.</w:t>
      </w:r>
      <w:r>
        <w:rPr>
          <w:rStyle w:val="FootnoteCharacters"/>
          <w:rStyle w:val="FootnoteReference"/>
          <w:rFonts w:eastAsia="Times New Roman" w:cs="Times New Roman" w:ascii="Times New Roman" w:hAnsi="Times New Roman"/>
          <w:sz w:val="24"/>
          <w:szCs w:val="24"/>
        </w:rPr>
        <w:footnoteReference w:id="2"/>
      </w:r>
      <w:r>
        <w:rPr>
          <w:rFonts w:eastAsia="Times New Roman" w:cs="Times New Roman" w:ascii="Times New Roman" w:hAnsi="Times New Roman"/>
          <w:sz w:val="24"/>
          <w:szCs w:val="24"/>
        </w:rPr>
        <w:t xml:space="preserve"> </w:t>
      </w:r>
    </w:p>
    <w:p>
      <w:pPr>
        <w:pStyle w:val="PlainText"/>
        <w:spacing w:lineRule="auto" w:line="360" w:before="0" w:after="120"/>
        <w:ind w:firstLine="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Decision D.99-07-015, the Commission identified a number of most promising options for continued restructuring of the California natural gas industry.  The purpose of my testimony is to show that the retail portion of the Settlement Agreement successfully addresses each of the Most Promising Retail Options, and resolves all SoCalGas and SDG&amp;E retail issues described in D.99-07-015 that would otherwise have been litigated in OII.99-07-003.  Further, the retail issues are resolved in a manner that creates substantial net benefits for the residential and small business natural gas consumers in the SoCalGas and SDG&amp;E service areas. </w:t>
      </w:r>
    </w:p>
    <w:p>
      <w:pPr>
        <w:pStyle w:val="PlainText"/>
        <w:spacing w:lineRule="auto" w:line="360" w:before="0" w:after="120"/>
        <w:ind w:firstLine="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The Settlement Parties devoted substantial time and energy to developing the Settlement Agreement within the time frame provided by the Commission.  The Settlement Agreement is noteworthy in that it provides consensus and compromise on a wide array of retail issues among entities with differing objectives and desired outcomes for the further restructuring of the natural gas industry in California.  Viewed in conjunction with the additional operational flexibility made available for marketers under the agreed-upon capacity and storage unbundling provisions sponsored by other witnesses, the retail portion of the Settlement Agreement promotes new and more expansive competitive opportunities in retail markets for all core customers and furthers the Commission’s goal of maximizing statewide consistency in energy markets. The retail portion of the Settlement Agreement reflects a balancing of the interests of all parties and creates value for all residential and small gas usage customers in the following ways:</w:t>
      </w:r>
    </w:p>
    <w:p>
      <w:pPr>
        <w:pStyle w:val="PlainText"/>
        <w:numPr>
          <w:ilvl w:val="0"/>
          <w:numId w:val="2"/>
        </w:numPr>
        <w:tabs>
          <w:tab w:val="clear" w:pos="360"/>
          <w:tab w:val="left" w:pos="0" w:leader="none"/>
          <w:tab w:val="left" w:pos="540" w:leader="none"/>
        </w:tabs>
        <w:spacing w:lineRule="auto" w:line="360" w:before="0" w:after="120"/>
        <w:ind w:hanging="720" w:start="1267" w:end="0"/>
        <w:rPr/>
      </w:pPr>
      <w:r>
        <w:rPr>
          <w:rFonts w:eastAsia="Times New Roman" w:cs="Times New Roman" w:ascii="Times New Roman" w:hAnsi="Times New Roman"/>
          <w:sz w:val="24"/>
          <w:szCs w:val="24"/>
        </w:rPr>
        <w:t xml:space="preserve">Viewed in conjunction with the core capacity unbundling provisions sponsored by other witnesses, it results in an approximately $1.78 MM </w:t>
      </w:r>
      <w:r>
        <w:rPr>
          <w:rStyle w:val="FootnoteCharacters"/>
          <w:rStyle w:val="FootnoteReference"/>
          <w:rFonts w:eastAsia="Times New Roman" w:cs="Times New Roman" w:ascii="Times New Roman" w:hAnsi="Times New Roman"/>
        </w:rPr>
        <w:footnoteReference w:id="3"/>
      </w:r>
      <w:r>
        <w:rPr>
          <w:rFonts w:eastAsia="Times New Roman" w:cs="Times New Roman" w:ascii="Times New Roman" w:hAnsi="Times New Roman"/>
          <w:sz w:val="24"/>
          <w:szCs w:val="24"/>
        </w:rPr>
        <w:t xml:space="preserve"> revenue requirement decrease for core customers that remain utility procurement customers.</w:t>
      </w:r>
    </w:p>
    <w:p>
      <w:pPr>
        <w:pStyle w:val="PlainText"/>
        <w:numPr>
          <w:ilvl w:val="0"/>
          <w:numId w:val="2"/>
        </w:numPr>
        <w:tabs>
          <w:tab w:val="clear" w:pos="360"/>
          <w:tab w:val="left" w:pos="0" w:leader="none"/>
          <w:tab w:val="left" w:pos="540" w:leader="none"/>
        </w:tabs>
        <w:spacing w:lineRule="auto" w:line="360" w:before="0" w:after="120"/>
        <w:ind w:hanging="720" w:start="1267" w:end="0"/>
        <w:rPr>
          <w:rFonts w:ascii="Times New Roman" w:hAnsi="Times New Roman" w:eastAsia="Times New Roman" w:cs="Times New Roman"/>
          <w:sz w:val="24"/>
          <w:szCs w:val="24"/>
        </w:rPr>
      </w:pPr>
      <w:r>
        <w:rPr>
          <w:rFonts w:eastAsia="Times New Roman" w:cs="Times New Roman" w:ascii="Times New Roman" w:hAnsi="Times New Roman"/>
          <w:sz w:val="24"/>
          <w:szCs w:val="24"/>
        </w:rPr>
        <w:t>Creates an environment that enhances opportunities for third parties to offer higher value and/or lower cost commodity services to natural gas consumers, thereby increasing the benefits of competition for core customers.</w:t>
      </w:r>
    </w:p>
    <w:p>
      <w:pPr>
        <w:pStyle w:val="PlainText"/>
        <w:numPr>
          <w:ilvl w:val="0"/>
          <w:numId w:val="2"/>
        </w:numPr>
        <w:tabs>
          <w:tab w:val="clear" w:pos="360"/>
          <w:tab w:val="left" w:pos="0" w:leader="none"/>
          <w:tab w:val="left" w:pos="540" w:leader="none"/>
        </w:tabs>
        <w:spacing w:lineRule="auto" w:line="360" w:before="0" w:after="120"/>
        <w:ind w:hanging="720" w:start="1267" w:end="0"/>
        <w:rPr>
          <w:rFonts w:ascii="Times New Roman" w:hAnsi="Times New Roman" w:eastAsia="Times New Roman" w:cs="Times New Roman"/>
          <w:sz w:val="24"/>
          <w:szCs w:val="24"/>
        </w:rPr>
      </w:pPr>
      <w:r>
        <w:rPr>
          <w:rFonts w:eastAsia="Times New Roman" w:cs="Times New Roman" w:ascii="Times New Roman" w:hAnsi="Times New Roman"/>
          <w:sz w:val="24"/>
          <w:szCs w:val="24"/>
        </w:rPr>
        <w:t>Enhances the benefits of energy industry restructuring by striving for consistency with recently adopted electric industry practices, thereby reducing customer confusion and potentially reducing administrative costs of energy suppliers.  These enhancements should result in an increase in the number of competitors in the marketplace.  This competition should impose downward pressures on retail prices to the benefit of all southern California small energy consumers.</w:t>
      </w:r>
    </w:p>
    <w:p>
      <w:pPr>
        <w:pStyle w:val="PlainText"/>
        <w:numPr>
          <w:ilvl w:val="0"/>
          <w:numId w:val="2"/>
        </w:numPr>
        <w:tabs>
          <w:tab w:val="clear" w:pos="360"/>
          <w:tab w:val="left" w:pos="0" w:leader="none"/>
        </w:tabs>
        <w:spacing w:lineRule="auto" w:line="360" w:before="0" w:after="120"/>
        <w:ind w:hanging="720" w:start="1267" w:end="0"/>
        <w:rPr>
          <w:rFonts w:ascii="Times New Roman" w:hAnsi="Times New Roman" w:eastAsia="Times New Roman" w:cs="Times New Roman"/>
          <w:sz w:val="24"/>
          <w:szCs w:val="24"/>
        </w:rPr>
      </w:pPr>
      <w:r>
        <w:rPr>
          <w:rFonts w:eastAsia="Times New Roman" w:cs="Times New Roman" w:ascii="Times New Roman" w:hAnsi="Times New Roman"/>
          <w:sz w:val="24"/>
          <w:szCs w:val="24"/>
        </w:rPr>
        <w:t>Promotes competition for residential and small usage customers by reducing transaction costs incurred in serving small usage customers by automating the customer choice process.</w:t>
      </w:r>
    </w:p>
    <w:p>
      <w:pPr>
        <w:pStyle w:val="PlainText"/>
        <w:numPr>
          <w:ilvl w:val="0"/>
          <w:numId w:val="2"/>
        </w:numPr>
        <w:tabs>
          <w:tab w:val="clear" w:pos="360"/>
          <w:tab w:val="left" w:pos="0" w:leader="none"/>
        </w:tabs>
        <w:spacing w:lineRule="auto" w:line="360" w:before="0" w:after="120"/>
        <w:ind w:hanging="720" w:start="1267" w:end="0"/>
        <w:rPr>
          <w:rFonts w:ascii="Times New Roman" w:hAnsi="Times New Roman" w:eastAsia="Times New Roman" w:cs="Times New Roman"/>
          <w:sz w:val="24"/>
          <w:szCs w:val="24"/>
        </w:rPr>
      </w:pPr>
      <w:r>
        <w:rPr>
          <w:rFonts w:eastAsia="Times New Roman" w:cs="Times New Roman" w:ascii="Times New Roman" w:hAnsi="Times New Roman"/>
          <w:sz w:val="24"/>
          <w:szCs w:val="24"/>
        </w:rPr>
        <w:t>Preserves the low costs currently enjoyed by natural gas consumers.</w:t>
      </w:r>
    </w:p>
    <w:p>
      <w:pPr>
        <w:pStyle w:val="PlainText"/>
        <w:numPr>
          <w:ilvl w:val="0"/>
          <w:numId w:val="2"/>
        </w:numPr>
        <w:tabs>
          <w:tab w:val="clear" w:pos="360"/>
          <w:tab w:val="left" w:pos="0" w:leader="none"/>
        </w:tabs>
        <w:spacing w:lineRule="auto" w:line="360" w:before="0" w:after="120"/>
        <w:ind w:hanging="720" w:start="126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Maintains the same high level of safe service that consumers rely upon. </w:t>
      </w:r>
    </w:p>
    <w:p>
      <w:pPr>
        <w:pStyle w:val="PlainText"/>
        <w:numPr>
          <w:ilvl w:val="0"/>
          <w:numId w:val="2"/>
        </w:numPr>
        <w:tabs>
          <w:tab w:val="clear" w:pos="360"/>
          <w:tab w:val="left" w:pos="0" w:leader="none"/>
          <w:tab w:val="left" w:pos="540" w:leader="none"/>
          <w:tab w:val="left" w:pos="810" w:leader="none"/>
        </w:tabs>
        <w:spacing w:lineRule="auto" w:line="360" w:before="0" w:after="120"/>
        <w:ind w:hanging="720" w:start="126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Addresses each of the CPUC’s most promising retail options. </w:t>
      </w:r>
      <w:r>
        <w:br w:type="page"/>
      </w:r>
    </w:p>
    <w:p>
      <w:pPr>
        <w:pStyle w:val="PlainText"/>
        <w:tabs>
          <w:tab w:val="clear" w:pos="360"/>
          <w:tab w:val="left" w:pos="540" w:leader="none"/>
        </w:tabs>
        <w:spacing w:lineRule="auto" w:line="360" w:before="0" w:after="12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w:t>
        <w:tab/>
        <w:t xml:space="preserve">Promising Options Addressed </w:t>
      </w:r>
    </w:p>
    <w:p>
      <w:pPr>
        <w:pStyle w:val="PlainText"/>
        <w:spacing w:lineRule="auto" w:line="360" w:before="0" w:after="120"/>
        <w:ind w:firstLine="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this proceeding that began over two years ago, the Commission planned “to adopt reforms that emphasize market-oriented policies in the hopes of creating benefits for all California natural gas consumers”(OII.99-07-003).  After receiving extensive testimony regarding an array of options and proposals for restructuring the gas industry in California, the Commission issued D.99-07-015 in which it proposed options that, in the Commission’s opinion, would “facilitate healthy competition” by “clearing obstacles to the competitive offering of gas commodity, transmission, storage, balancing, and other services for all customers.”  The specific promising options related to the retail issues as found in the Commission’s Decision include the following findings: </w:t>
      </w:r>
    </w:p>
    <w:p>
      <w:pPr>
        <w:pStyle w:val="BodyTextContinued"/>
        <w:numPr>
          <w:ilvl w:val="0"/>
          <w:numId w:val="3"/>
        </w:numPr>
        <w:tabs>
          <w:tab w:val="clear" w:pos="360"/>
          <w:tab w:val="left" w:pos="0" w:leader="none"/>
        </w:tabs>
        <w:spacing w:lineRule="auto" w:line="360" w:before="0" w:after="120"/>
        <w:ind w:hanging="907" w:start="1454" w:end="0"/>
        <w:rPr/>
      </w:pPr>
      <w:r>
        <w:rPr/>
        <w:t xml:space="preserve">The lifting of the core aggregation participation cap will expand the competitive options available to residential and small commercial customers.   </w:t>
        <w:br/>
      </w:r>
      <w:r>
        <w:rPr>
          <w:i/>
          <w:iCs/>
        </w:rPr>
        <w:t>(D.99-07-015, p. 49, FoF 30)</w:t>
      </w:r>
    </w:p>
    <w:p>
      <w:pPr>
        <w:pStyle w:val="Bullet3"/>
        <w:numPr>
          <w:ilvl w:val="0"/>
          <w:numId w:val="3"/>
        </w:numPr>
        <w:tabs>
          <w:tab w:val="clear" w:pos="360"/>
          <w:tab w:val="left" w:pos="0" w:leader="none"/>
        </w:tabs>
        <w:spacing w:lineRule="auto" w:line="360" w:before="0" w:after="120"/>
        <w:ind w:hanging="907" w:start="1454" w:end="0"/>
        <w:rPr>
          <w:i/>
          <w:i/>
          <w:iCs/>
        </w:rPr>
      </w:pPr>
      <w:r>
        <w:rPr>
          <w:color w:val="000000"/>
        </w:rPr>
        <w:t xml:space="preserve">Customer access to real-time consumption data is consistent with the goals of increased market efficiency and providing competitive tools.  </w:t>
        <w:br/>
      </w:r>
      <w:r>
        <w:rPr>
          <w:i/>
          <w:iCs/>
          <w:color w:val="000000"/>
        </w:rPr>
        <w:t xml:space="preserve">(D.99-07-015, pp. 72-73, FoF  36, CoL 15) </w:t>
      </w:r>
    </w:p>
    <w:p>
      <w:pPr>
        <w:pStyle w:val="Bullet3"/>
        <w:numPr>
          <w:ilvl w:val="0"/>
          <w:numId w:val="3"/>
        </w:numPr>
        <w:tabs>
          <w:tab w:val="clear" w:pos="360"/>
          <w:tab w:val="left" w:pos="0" w:leader="none"/>
        </w:tabs>
        <w:spacing w:lineRule="auto" w:line="360" w:before="0" w:after="120"/>
        <w:ind w:hanging="907" w:start="1454" w:end="0"/>
        <w:rPr/>
      </w:pPr>
      <w:r>
        <w:rPr>
          <w:color w:val="000000"/>
        </w:rPr>
        <w:t xml:space="preserve">The appropriateness of natural gas utilities providing billing options similar to those currently offered on the electric side.  </w:t>
      </w:r>
      <w:r>
        <w:rPr>
          <w:i/>
          <w:iCs/>
          <w:color w:val="000000"/>
        </w:rPr>
        <w:t>(D.99-07-015, CoL 19)</w:t>
      </w:r>
    </w:p>
    <w:p>
      <w:pPr>
        <w:pStyle w:val="Bullet3"/>
        <w:numPr>
          <w:ilvl w:val="0"/>
          <w:numId w:val="3"/>
        </w:numPr>
        <w:tabs>
          <w:tab w:val="clear" w:pos="360"/>
          <w:tab w:val="left" w:pos="0" w:leader="none"/>
        </w:tabs>
        <w:spacing w:lineRule="auto" w:line="360" w:before="0" w:after="120"/>
        <w:ind w:hanging="907" w:start="1454" w:end="0"/>
        <w:rPr>
          <w:i/>
          <w:i/>
          <w:iCs/>
          <w:color w:val="000000"/>
        </w:rPr>
      </w:pPr>
      <w:r>
        <w:rPr>
          <w:color w:val="000000"/>
        </w:rPr>
        <w:t xml:space="preserve">Competing gas and electric providers should be able to choose to provide a consolidated bill for gas and electricity so that the customers of such providers will not face duplicative charges for the billing function. </w:t>
      </w:r>
      <w:r>
        <w:rPr>
          <w:i/>
          <w:iCs/>
          <w:color w:val="000000"/>
        </w:rPr>
        <w:t>(D.99-07-015, FoF 43)</w:t>
      </w:r>
      <w:r>
        <w:rPr>
          <w:color w:val="000000"/>
        </w:rPr>
        <w:t xml:space="preserve"> </w:t>
      </w:r>
    </w:p>
    <w:p>
      <w:pPr>
        <w:pStyle w:val="PlainText"/>
        <w:numPr>
          <w:ilvl w:val="0"/>
          <w:numId w:val="3"/>
        </w:numPr>
        <w:tabs>
          <w:tab w:val="clear" w:pos="360"/>
          <w:tab w:val="left" w:pos="0" w:leader="none"/>
        </w:tabs>
        <w:spacing w:lineRule="auto" w:line="360" w:before="0" w:after="120"/>
        <w:ind w:hanging="907" w:start="1454" w:end="0"/>
        <w:rPr/>
      </w:pPr>
      <w:r>
        <w:rPr>
          <w:rFonts w:eastAsia="Times New Roman" w:cs="Times New Roman" w:ascii="Times New Roman" w:hAnsi="Times New Roman"/>
          <w:color w:val="000000"/>
          <w:sz w:val="24"/>
          <w:szCs w:val="24"/>
        </w:rPr>
        <w:t xml:space="preserve">Re-examination of local distribution company core procurement and the default provider function is appropriate if market share exceeds 30% of the number of core customers, but even at that point the Commission sees no compelling reason to eliminate local distribution company procurement service as an option for core customers.  </w:t>
      </w:r>
      <w:r>
        <w:rPr>
          <w:rFonts w:eastAsia="Times New Roman" w:cs="Times New Roman" w:ascii="Times New Roman" w:hAnsi="Times New Roman"/>
          <w:i/>
          <w:iCs/>
          <w:color w:val="000000"/>
          <w:sz w:val="24"/>
          <w:szCs w:val="24"/>
        </w:rPr>
        <w:t>(D.99-07-003, p. 49, FoF 29).</w:t>
      </w:r>
    </w:p>
    <w:p>
      <w:pPr>
        <w:pStyle w:val="Bullet3"/>
        <w:numPr>
          <w:ilvl w:val="0"/>
          <w:numId w:val="3"/>
        </w:numPr>
        <w:tabs>
          <w:tab w:val="clear" w:pos="360"/>
          <w:tab w:val="left" w:pos="0" w:leader="none"/>
        </w:tabs>
        <w:spacing w:lineRule="auto" w:line="360" w:before="0" w:after="120"/>
        <w:ind w:hanging="907" w:start="1454" w:end="0"/>
        <w:rPr/>
      </w:pPr>
      <w:r>
        <w:rPr>
          <w:color w:val="000000"/>
        </w:rPr>
        <w:t xml:space="preserve">To the extent reasonable as determined in the cost-benefit phase, separate the costs and rates for core utility services including core procurement, transmission, storage, distribution, and balancing, and treating the local distribution company core procurement department as a single customer for operational purposes, subject to the same terms and conditions of service as other customers.   </w:t>
      </w:r>
      <w:r>
        <w:rPr>
          <w:i/>
          <w:iCs/>
          <w:color w:val="000000"/>
        </w:rPr>
        <w:t>(D.99-07-015, p. 49, p. 62, p. 86)</w:t>
      </w:r>
    </w:p>
    <w:p>
      <w:pPr>
        <w:pStyle w:val="Bullet3"/>
        <w:numPr>
          <w:ilvl w:val="0"/>
          <w:numId w:val="3"/>
        </w:numPr>
        <w:tabs>
          <w:tab w:val="clear" w:pos="360"/>
          <w:tab w:val="left" w:pos="0" w:leader="none"/>
        </w:tabs>
        <w:spacing w:lineRule="auto" w:line="360" w:before="0" w:after="120"/>
        <w:ind w:hanging="907" w:start="1454" w:end="0"/>
        <w:rPr/>
      </w:pPr>
      <w:r>
        <w:rPr>
          <w:color w:val="000000"/>
        </w:rPr>
        <w:t xml:space="preserve">Elimination of core subscription service.  Any noncore customer who prefers to continue procurement from the utility after elimination of core subscription should take and pay for core transportation service as well as core gas supply service.  SDG&amp;E should not be required to exit its noncore procurement services.  </w:t>
      </w:r>
      <w:r>
        <w:rPr>
          <w:i/>
          <w:iCs/>
          <w:color w:val="000000"/>
        </w:rPr>
        <w:t>(D.99-07-015, p.49, pp.63-64, CoL 12)</w:t>
      </w:r>
    </w:p>
    <w:p>
      <w:pPr>
        <w:pStyle w:val="PlainText"/>
        <w:numPr>
          <w:ilvl w:val="0"/>
          <w:numId w:val="3"/>
        </w:numPr>
        <w:tabs>
          <w:tab w:val="clear" w:pos="360"/>
          <w:tab w:val="left" w:pos="0" w:leader="none"/>
        </w:tabs>
        <w:spacing w:lineRule="auto" w:line="360" w:before="0" w:after="120"/>
        <w:ind w:hanging="907" w:start="1454" w:end="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elimination of the core aggregation threshold will expand the competitive options available to residential and small commercial customers.   (D.99-07-015, p. 49, FoF 30)</w:t>
      </w:r>
    </w:p>
    <w:p>
      <w:pPr>
        <w:pStyle w:val="PlainText"/>
        <w:numPr>
          <w:ilvl w:val="0"/>
          <w:numId w:val="3"/>
        </w:numPr>
        <w:tabs>
          <w:tab w:val="clear" w:pos="360"/>
          <w:tab w:val="left" w:pos="0" w:leader="none"/>
        </w:tabs>
        <w:spacing w:lineRule="auto" w:line="360" w:before="0" w:after="120"/>
        <w:ind w:hanging="907" w:start="1454" w:end="0"/>
        <w:rPr/>
      </w:pPr>
      <w:r>
        <w:rPr>
          <w:rFonts w:eastAsia="Times New Roman" w:cs="Times New Roman" w:ascii="Times New Roman" w:hAnsi="Times New Roman"/>
          <w:color w:val="000000"/>
          <w:sz w:val="24"/>
          <w:szCs w:val="24"/>
        </w:rPr>
        <w:t xml:space="preserve">The competitive provision of meters is consistent with the objective of removing unnecessary barriers to entry into various components of the natural gas service market.  The competitive provision of meters is appropriate as long as safety standards are in place and standardized information protocols are utilized.  </w:t>
      </w:r>
      <w:r>
        <w:rPr>
          <w:rFonts w:eastAsia="Times New Roman" w:cs="Times New Roman" w:ascii="Times New Roman" w:hAnsi="Times New Roman"/>
          <w:i/>
          <w:iCs/>
          <w:color w:val="000000"/>
          <w:sz w:val="24"/>
          <w:szCs w:val="24"/>
        </w:rPr>
        <w:t>(D.99-07-015, pp. 84-85, CoL 16)</w:t>
      </w:r>
    </w:p>
    <w:p>
      <w:pPr>
        <w:pStyle w:val="PlainText"/>
        <w:spacing w:lineRule="auto" w:line="360" w:before="0" w:after="120"/>
        <w:ind w:firstLine="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This Settlement Agreement was designed to address and provide beneficial resolution of the Commission’s identified most promising options, and in doing so, to provide benefits to all southern California gas consumers.  For some of the above options where the benefits are uncertain, pilot programs or further discussions with the various stakeholders is proposed.  Where the benefits clearly exceed the costs, the Settlement Agreement implements the promising retail options in a manner acceptable to the various interests, including customers, retailers, and utilities.</w:t>
      </w:r>
      <w:r>
        <w:br w:type="page"/>
      </w:r>
    </w:p>
    <w:p>
      <w:pPr>
        <w:pStyle w:val="PlainText"/>
        <w:tabs>
          <w:tab w:val="clear" w:pos="360"/>
          <w:tab w:val="left" w:pos="540" w:leader="none"/>
        </w:tabs>
        <w:spacing w:lineRule="auto" w:line="360" w:before="0" w:after="12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III.</w:t>
        <w:tab/>
        <w:t>Benefits and Costs of the Retail Issues</w:t>
      </w:r>
    </w:p>
    <w:p>
      <w:pPr>
        <w:pStyle w:val="PlainText"/>
        <w:spacing w:lineRule="auto" w:line="360" w:before="0" w:after="120"/>
        <w:ind w:firstLine="547" w:end="0"/>
        <w:rPr/>
      </w:pPr>
      <w:r>
        <w:rPr>
          <w:rFonts w:eastAsia="Times New Roman" w:cs="Times New Roman" w:ascii="Times New Roman" w:hAnsi="Times New Roman"/>
          <w:sz w:val="24"/>
          <w:szCs w:val="24"/>
        </w:rPr>
        <w:t>The issues that have been resolved as part of the Settlement Agreement accomplish the Commission’s goals in a number of ways, including providing for additional upstream flexibility for marketers in arranging their supply, delivery, storage and balancing requirements, making interstate capacity available at market-based rates for customers of core transportation agents (CTAs), hereafter referred to as energy service providers (ESPs), and providing for agreed-upon credits for customers that take certain services from ESPs instead of the utility.</w:t>
      </w:r>
      <w:r>
        <w:rPr>
          <w:rStyle w:val="FootnoteCharacters"/>
          <w:rStyle w:val="FootnoteReference"/>
          <w:rFonts w:eastAsia="Times New Roman" w:cs="Times New Roman" w:ascii="Times New Roman" w:hAnsi="Times New Roman"/>
          <w:sz w:val="24"/>
          <w:szCs w:val="24"/>
        </w:rPr>
        <w:footnoteReference w:id="4"/>
      </w:r>
      <w:r>
        <w:rPr>
          <w:rFonts w:eastAsia="Times New Roman" w:cs="Times New Roman" w:ascii="Times New Roman" w:hAnsi="Times New Roman"/>
          <w:sz w:val="24"/>
          <w:szCs w:val="24"/>
        </w:rPr>
        <w:t xml:space="preserve">   The Settlement Agreement is the only settlement introduced in this proceeding that comprehensively addresses these retail issues.  It is also the only settlement to address all of the Commission’s most promising options and the only settlement having the potential to fully bring the benefits of competition to residential and small gas usage customers, and to do so in a manner which enhances statewide consistency. </w:t>
      </w:r>
    </w:p>
    <w:p>
      <w:pPr>
        <w:pStyle w:val="PlainText"/>
        <w:spacing w:lineRule="auto" w:line="360" w:before="0" w:after="120"/>
        <w:ind w:hanging="360" w:start="907" w:end="0"/>
        <w:rPr/>
      </w:pPr>
      <w:r>
        <w:rPr>
          <w:rFonts w:eastAsia="Times New Roman" w:cs="Times New Roman" w:ascii="Times New Roman" w:hAnsi="Times New Roman"/>
          <w:b/>
          <w:bCs/>
          <w:sz w:val="24"/>
          <w:szCs w:val="24"/>
        </w:rPr>
        <w:t>A.</w:t>
        <w:tab/>
        <w:t>The Settlement Addresses the Need to Make Retail Competition Available to Smaller Customers</w:t>
      </w:r>
      <w:r>
        <w:rPr>
          <w:rFonts w:eastAsia="Times New Roman" w:cs="Times New Roman" w:ascii="Times New Roman" w:hAnsi="Times New Roman"/>
          <w:sz w:val="24"/>
          <w:szCs w:val="24"/>
        </w:rPr>
        <w:t>.</w:t>
      </w:r>
    </w:p>
    <w:p>
      <w:pPr>
        <w:pStyle w:val="PlainText"/>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In the SoCalGas service area, there is currently only one ESP predominately serving residential customers, compared to 14 ESPs serving core commercial and industrial and master-metered residential accounts.  Similarly, in the SDG&amp;E service area, at present, there is only one ESP predominately serving gas residential customers yet there are seven ESPs serving core gas commercial and industrial (C&amp;I) and master-metered residential accounts.  In recognition of such disparities, a primary goal of the retail settlement has been to make competition work better and more effectively for residential natural gas consumers.</w:t>
      </w:r>
    </w:p>
    <w:p>
      <w:pPr>
        <w:pStyle w:val="PlainText"/>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As a result of the adoption of the market-oriented policies in the capacity portion of this Settlement Agreement, SoCalGas and SDG&amp;E expect that, more ESPs will enter the market and that current ESPs will expand operations in California.  Unless the retail issues are addressed expeditiously, however, as provided for in the Settlement Agreement, it is likely that only the larger core C&amp;I and master-metered residential customers will benefit from retail competition.  The settlement provisions will bring these benefits increasingly to residential consumers in the following ways.</w:t>
      </w:r>
    </w:p>
    <w:p>
      <w:pPr>
        <w:pStyle w:val="PlainText"/>
        <w:spacing w:lineRule="auto" w:line="360" w:before="0" w:after="120"/>
        <w:ind w:firstLine="360" w:start="547" w:end="0"/>
        <w:rPr/>
      </w:pPr>
      <w:r>
        <w:rPr>
          <w:rFonts w:eastAsia="Times New Roman" w:cs="Times New Roman" w:ascii="Times New Roman" w:hAnsi="Times New Roman"/>
          <w:sz w:val="24"/>
          <w:szCs w:val="24"/>
        </w:rPr>
        <w:t xml:space="preserve">First, by lifting the 10 percent </w:t>
      </w:r>
      <w:r>
        <w:rPr>
          <w:rFonts w:eastAsia="Times New Roman" w:cs="Times New Roman" w:ascii="Times New Roman" w:hAnsi="Times New Roman"/>
          <w:i/>
          <w:iCs/>
          <w:sz w:val="24"/>
          <w:szCs w:val="24"/>
        </w:rPr>
        <w:t>volume</w:t>
      </w:r>
      <w:r>
        <w:rPr>
          <w:rFonts w:eastAsia="Times New Roman" w:cs="Times New Roman" w:ascii="Times New Roman" w:hAnsi="Times New Roman"/>
          <w:sz w:val="24"/>
          <w:szCs w:val="24"/>
        </w:rPr>
        <w:t xml:space="preserve"> penetration cap in the Core Transportation Aggregation (CTA) program, all core customers will have the opportunity to participate in the Commission-directed changes in the natural gas commodity marketplace.  Otherwise, the cap would likely be reached with fewer than one percent of core customers participating in the CTA program because marketers have focused on higher-volume customers, where margin opportunities are greatest to date.</w:t>
      </w:r>
      <w:r>
        <w:rPr>
          <w:rStyle w:val="FootnoteCharacters"/>
          <w:rStyle w:val="FootnoteReference"/>
          <w:rFonts w:eastAsia="Times New Roman" w:cs="Times New Roman" w:ascii="Times New Roman" w:hAnsi="Times New Roman"/>
          <w:sz w:val="24"/>
          <w:szCs w:val="24"/>
        </w:rPr>
        <w:footnoteReference w:id="5"/>
      </w:r>
      <w:r>
        <w:rPr>
          <w:rFonts w:eastAsia="Times New Roman" w:cs="Times New Roman" w:ascii="Times New Roman" w:hAnsi="Times New Roman"/>
          <w:sz w:val="24"/>
          <w:szCs w:val="24"/>
        </w:rPr>
        <w:t xml:space="preserve">  Removing the cap will allow residential and small use customers the same access to the benefits of customer choice as they have in the electric industry, promoting consistency in customer choice across fuels. </w:t>
      </w:r>
    </w:p>
    <w:p>
      <w:pPr>
        <w:pStyle w:val="PlainText"/>
        <w:spacing w:lineRule="auto" w:line="360" w:before="0" w:after="120"/>
        <w:ind w:firstLine="360" w:start="540"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To date, the small customer segment is one which ESPs have not pursued, for the most part, due to the prospect of transaction costs that can easily overwhelm any savings achieved through the gas procurement activity (D.99-07-015, p. 57).  The benefits of the capacity portion of the Settlement that provide marketers additional flexibility to better match transportation, storage and balancing arrangements with the needs of their customers will not reach the residential and small business market segment unless transaction costs can be lowered to reduce barriers to the entry of ESPs. </w:t>
      </w:r>
    </w:p>
    <w:p>
      <w:pPr>
        <w:pStyle w:val="PlainText"/>
        <w:spacing w:lineRule="auto" w:line="360" w:before="0" w:after="120"/>
        <w:ind w:firstLine="360" w:start="540" w:end="0"/>
        <w:rPr/>
      </w:pPr>
      <w:r>
        <w:rPr>
          <w:rFonts w:eastAsia="Times New Roman" w:cs="Times New Roman" w:ascii="Times New Roman" w:hAnsi="Times New Roman"/>
          <w:sz w:val="24"/>
          <w:szCs w:val="24"/>
        </w:rPr>
        <w:t>The retail portion of the Settlement does exactly that in a number of important ways.  For example, by automating the customer choice process, adopting customer-account management rules to match the electric industry, and by improving the customer information electronic transfer process to match the electric industry, administrative cost-related barriers for ESPs to serve the residential and small business gas and electric segment are reduced.  Similarly, by establishing utility consolidated billing as an option, ESPs not currently in the California market, and for whom customer billing is not a core competency or for whom the cost of acquiring a customer information system would otherwise be prohibitive, will now be attracted to serve California’s small customer segment.</w:t>
      </w:r>
      <w:r>
        <w:rPr>
          <w:rStyle w:val="FootnoteCharacters"/>
          <w:rStyle w:val="FootnoteReference"/>
          <w:rFonts w:eastAsia="Times New Roman" w:cs="Times New Roman" w:ascii="Times New Roman" w:hAnsi="Times New Roman"/>
          <w:sz w:val="24"/>
          <w:szCs w:val="24"/>
        </w:rPr>
        <w:footnoteReference w:id="6"/>
      </w:r>
      <w:r>
        <w:rPr>
          <w:rFonts w:eastAsia="Times New Roman" w:cs="Times New Roman" w:ascii="Times New Roman" w:hAnsi="Times New Roman"/>
          <w:sz w:val="24"/>
          <w:szCs w:val="24"/>
        </w:rPr>
        <w:t xml:space="preserve">  Or by offering avoided cost billing credits that, when combined with electric credits, will total more than $2.30 per month in the overlapping SoCalGas and Southern California Edison service areas, and by $1.45 in the SDG&amp;E service area, it is also expected that more ESPs who do provide consolidated billing will be encouraged to serve the residential and small business segment.</w:t>
      </w:r>
    </w:p>
    <w:p>
      <w:pPr>
        <w:pStyle w:val="BodyText2"/>
        <w:spacing w:before="0" w:after="120"/>
        <w:ind w:firstLine="360" w:start="540" w:end="0"/>
        <w:rPr>
          <w:rFonts w:ascii="Times New Roman" w:hAnsi="Times New Roman" w:eastAsia="Times New Roman" w:cs="Times New Roman"/>
        </w:rPr>
      </w:pPr>
      <w:r>
        <w:rPr>
          <w:rFonts w:eastAsia="Times New Roman" w:cs="Times New Roman" w:ascii="Times New Roman" w:hAnsi="Times New Roman"/>
        </w:rPr>
        <w:t xml:space="preserve">SoCalGas and SDG&amp;E believe that creating better competitive opportunities in core residential markets will benefit these smaller customers, thereby increasing downward competitive pressure on prices and maximizing incentives to offer new higher valued products and services.  For example, customers will be in a position from which they can engage in comparison shopping for natural gas (and electricity), and marketers in turn will be forced to compete on the basis of price and value to obtain new customers. </w:t>
      </w:r>
    </w:p>
    <w:p>
      <w:pPr>
        <w:pStyle w:val="Normal"/>
        <w:spacing w:lineRule="auto" w:line="360" w:before="0" w:after="120"/>
        <w:ind w:firstLine="360" w:start="540" w:end="0"/>
        <w:rPr/>
      </w:pPr>
      <w:r>
        <w:rPr>
          <w:sz w:val="24"/>
          <w:szCs w:val="24"/>
        </w:rPr>
        <w:t>We also expect an increase in the number and variety of products from which customers can choose as well as for new innovative products and services to develop.  Economic analyses of other deregulated industries have found these types of benefits to have substantial economic value to consumers.</w:t>
      </w:r>
      <w:r>
        <w:rPr>
          <w:rStyle w:val="FootnoteCharacters"/>
          <w:rStyle w:val="FootnoteReference"/>
          <w:sz w:val="24"/>
          <w:szCs w:val="24"/>
        </w:rPr>
        <w:footnoteReference w:id="7"/>
      </w:r>
      <w:r>
        <w:rPr>
          <w:sz w:val="24"/>
          <w:szCs w:val="24"/>
        </w:rPr>
        <w:t xml:space="preserve">  Gas procured by the utility is limited by the Commission to a single monthly price in California, but in the gas commodity markets in other states, there are a myriad of price offers including monthly pricing, quarterly pricing, annual, three-year, and even five-year fixed prices made available to customers by third parties.</w:t>
      </w:r>
      <w:r>
        <w:rPr>
          <w:rStyle w:val="FootnoteCharacters"/>
          <w:rStyle w:val="FootnoteReference"/>
          <w:sz w:val="24"/>
          <w:szCs w:val="24"/>
        </w:rPr>
        <w:footnoteReference w:id="8"/>
      </w:r>
      <w:r>
        <w:rPr>
          <w:sz w:val="24"/>
          <w:szCs w:val="24"/>
        </w:rPr>
        <w:t xml:space="preserve">  This Settlement Agreement will increase the ability of ESPs to offer these types of products to residential and small business market segments as they are in other areas of the country and is currently the case for large Commercial and Industrial customers in California.</w:t>
      </w:r>
      <w:r>
        <w:rPr>
          <w:rStyle w:val="FootnoteCharacters"/>
          <w:rStyle w:val="FootnoteReference"/>
          <w:sz w:val="24"/>
          <w:szCs w:val="24"/>
        </w:rPr>
        <w:footnoteReference w:id="9"/>
      </w:r>
      <w:r>
        <w:rPr>
          <w:sz w:val="24"/>
          <w:szCs w:val="24"/>
        </w:rPr>
        <w:t xml:space="preserve"> </w:t>
      </w:r>
    </w:p>
    <w:p>
      <w:pPr>
        <w:pStyle w:val="BodyText2"/>
        <w:spacing w:before="0" w:after="120"/>
        <w:ind w:firstLine="360" w:start="540" w:end="0"/>
        <w:rPr>
          <w:rFonts w:ascii="Times New Roman" w:hAnsi="Times New Roman" w:eastAsia="Times New Roman" w:cs="Times New Roman"/>
        </w:rPr>
      </w:pPr>
      <w:r>
        <w:rPr>
          <w:rFonts w:eastAsia="Times New Roman" w:cs="Times New Roman" w:ascii="Times New Roman" w:hAnsi="Times New Roman"/>
        </w:rPr>
        <w:t xml:space="preserve">The retail portion of the Settlement Agreement also encourages innovation in California gas markets in other ways.  For example, opportunities are created for trial and error in testing out new methods and technologies that may have large, but currently unknown benefits, such as the meter device add-on program, which will allow new technologies for recording and using customer gas usage data to determine if they can provide benefits to customers in energy management that outweigh the substantial costs of changing the traditional way of metering usage.  The agreement to discuss utility commodity procurement will also consider if there are benefits to consumers of new and innovative alternate utility commodity procurement arrangements.   </w:t>
      </w:r>
    </w:p>
    <w:p>
      <w:pPr>
        <w:pStyle w:val="BodyText2"/>
        <w:spacing w:before="0" w:after="120"/>
        <w:ind w:firstLine="360" w:start="540" w:end="0"/>
        <w:rPr>
          <w:rFonts w:ascii="Times New Roman" w:hAnsi="Times New Roman" w:eastAsia="Times New Roman" w:cs="Times New Roman"/>
        </w:rPr>
      </w:pPr>
      <w:r>
        <w:rPr>
          <w:rFonts w:eastAsia="Times New Roman" w:cs="Times New Roman" w:ascii="Times New Roman" w:hAnsi="Times New Roman"/>
        </w:rPr>
        <w:t>There is also a benefit from competition in providing for a program that allows ESPs to make multiple offerings that match the characteristics of a product or service with consumers’ preferences and willingness to pay.  Some customers may not value seasonal gas in storage protection and are willing to risk winter price spikes in exchange for a potentially lower rate the rest of the year, while others may want the certainty of having a substantial amount of gas in storage to minimize price spikes.  The settlement provisions will provide opportunities for ESPs to provide these and other types of new options to small use customers by reducing the transaction cost hurdle and increasing the flexibility available to ESPs to customize their services to respond to customer needs and desires.</w:t>
      </w:r>
    </w:p>
    <w:p>
      <w:pPr>
        <w:pStyle w:val="PlainText"/>
        <w:spacing w:lineRule="auto" w:line="360" w:before="0" w:after="120"/>
        <w:ind w:firstLine="360" w:start="540"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While the changes proposed in the Settlement Agreement related to retail issues clearly provide substantial new and improved benefits for both small core customers and ESPs, they do not individually, or in the aggregate, modify in any fundamental way the existing CTA program through which the public has been provided an alternative to utility commodity procurement for the past nine years.  For example, the Settlement does not alter in any way the right of any customer to take commodity service from either the utility or a qualifying ESP in the CTA program.  </w:t>
      </w:r>
      <w:r>
        <w:br w:type="page"/>
      </w:r>
    </w:p>
    <w:p>
      <w:pPr>
        <w:pStyle w:val="PlainText"/>
        <w:spacing w:lineRule="auto" w:line="360" w:before="0" w:after="120"/>
        <w:ind w:hanging="360" w:start="907" w:end="0"/>
        <w:rPr/>
      </w:pPr>
      <w:r>
        <w:rPr>
          <w:rFonts w:eastAsia="Times New Roman" w:cs="Times New Roman" w:ascii="Times New Roman" w:hAnsi="Times New Roman"/>
          <w:b/>
          <w:bCs/>
          <w:i/>
          <w:iCs/>
          <w:sz w:val="24"/>
          <w:szCs w:val="24"/>
        </w:rPr>
        <w:t>B.</w:t>
        <w:tab/>
        <w:t>Costs to Make Retail Competition Available to Smaller Customers</w:t>
      </w:r>
      <w:r>
        <w:rPr>
          <w:rFonts w:eastAsia="Times New Roman" w:cs="Times New Roman" w:ascii="Times New Roman" w:hAnsi="Times New Roman"/>
          <w:i/>
          <w:iCs/>
          <w:sz w:val="24"/>
          <w:szCs w:val="24"/>
        </w:rPr>
        <w:t>.</w:t>
      </w:r>
    </w:p>
    <w:p>
      <w:pPr>
        <w:pStyle w:val="PlainText"/>
        <w:spacing w:lineRule="auto" w:line="360" w:before="0" w:after="120"/>
        <w:ind w:firstLine="360" w:start="547" w:end="0"/>
        <w:rPr/>
      </w:pPr>
      <w:r>
        <w:rPr>
          <w:rFonts w:eastAsia="Times New Roman" w:cs="Times New Roman" w:ascii="Times New Roman" w:hAnsi="Times New Roman"/>
          <w:sz w:val="24"/>
          <w:szCs w:val="24"/>
        </w:rPr>
        <w:t>In automating any computer process that potentially has to handle six million or more customers, the costs are non-trivial.  The cost to implement the retail portion of the Settlement Agreement, including automating customer switching and performing customer account management, is estimated at $7.1 million for a joint system for both SoCalGas and SDG&amp;E.  This investment is necessary to assure speedy transfer of customers to their new suppliers, to provide seamless customer information transfer to the ESPs, and to automate customer account management functions (customer information changes, choice of billing option and any changes to the customer’s account status, etc.).  In addition, to implement utility consolidated billing, we estimate that the costs will be in the range of $4.4 million for SoCalGas and $0.7 million for SDG&amp;E.  These costs are necessary in order to modify the existing computer-based customer information systems to track revenues for multiple ESPs in addition to the utility, change the customer bill calculation process, change the bill presentment process, and change the collections process.</w:t>
      </w:r>
      <w:r>
        <w:rPr>
          <w:rStyle w:val="FootnoteCharacters"/>
          <w:rStyle w:val="FootnoteReference"/>
          <w:rFonts w:eastAsia="Times New Roman" w:cs="Times New Roman" w:ascii="Times New Roman" w:hAnsi="Times New Roman"/>
          <w:sz w:val="24"/>
          <w:szCs w:val="24"/>
        </w:rPr>
        <w:footnoteReference w:id="10"/>
      </w:r>
      <w:r>
        <w:rPr>
          <w:rFonts w:eastAsia="Times New Roman" w:cs="Times New Roman" w:ascii="Times New Roman" w:hAnsi="Times New Roman"/>
          <w:sz w:val="24"/>
          <w:szCs w:val="24"/>
        </w:rPr>
        <w:t xml:space="preserve">  </w:t>
      </w:r>
    </w:p>
    <w:p>
      <w:pPr>
        <w:pStyle w:val="PlainText"/>
        <w:spacing w:lineRule="auto" w:line="360" w:before="0" w:after="120"/>
        <w:ind w:firstLine="360" w:start="547" w:end="0"/>
        <w:rPr/>
      </w:pPr>
      <w:r>
        <w:rPr>
          <w:rFonts w:eastAsia="Times New Roman" w:cs="Times New Roman" w:ascii="Times New Roman" w:hAnsi="Times New Roman"/>
          <w:sz w:val="24"/>
          <w:szCs w:val="24"/>
        </w:rPr>
        <w:t>The total cost estimate of $12.2 million for both SoCalGas and SDG&amp;E compares favorably to the $25 to $30 million in systems development and implementation capital expenditures authorized by the Commission individually for Southern California Edison Company (SCE) and Pacific Gas &amp; Electric Company (PG&amp;E) to implement similar computer modifications as part of electric industry restructuring.</w:t>
      </w:r>
      <w:r>
        <w:rPr>
          <w:rStyle w:val="FootnoteCharacters"/>
          <w:rStyle w:val="FootnoteReference"/>
          <w:rFonts w:eastAsia="Times New Roman" w:cs="Times New Roman" w:ascii="Times New Roman" w:hAnsi="Times New Roman"/>
          <w:sz w:val="24"/>
          <w:szCs w:val="24"/>
        </w:rPr>
        <w:footnoteReference w:id="11"/>
      </w:r>
      <w:r>
        <w:rPr>
          <w:rFonts w:eastAsia="Times New Roman" w:cs="Times New Roman" w:ascii="Times New Roman" w:hAnsi="Times New Roman"/>
          <w:sz w:val="24"/>
          <w:szCs w:val="24"/>
        </w:rPr>
        <w:t xml:space="preserve">  The Legislature and the Commission found that substantial expected benefits to all customers as a result of customer choice greatly outweighed the admittedly significant costs necessary to implement measures to enable competition. </w:t>
      </w:r>
      <w:r>
        <w:br w:type="page"/>
      </w:r>
    </w:p>
    <w:p>
      <w:pPr>
        <w:pStyle w:val="PlainText"/>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That being said, in order to provide further significant benefits to core customers, SoCalGas and SDG&amp;E have agreed, as part of this Settlement Agreement, to absorb the entire $12.2 million in capital costs within currently authorized ratebases.   </w:t>
      </w:r>
    </w:p>
    <w:p>
      <w:pPr>
        <w:pStyle w:val="PlainText"/>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Until the next PBRs of the two utilities, the Settlement Agreement provides that the ongoing operation and maintenance costs related to these investments will be either absorbed by the utilities within currently authorized revenues or collected in fees imposed directly on the users of particular utility services.  As a result, ratepayers will see no rate increase to implement the retail portion of the Settlement. </w:t>
      </w:r>
    </w:p>
    <w:p>
      <w:pPr>
        <w:pStyle w:val="PlainText"/>
        <w:tabs>
          <w:tab w:val="clear" w:pos="360"/>
          <w:tab w:val="left" w:pos="900" w:leader="none"/>
        </w:tabs>
        <w:spacing w:lineRule="auto" w:line="360" w:before="0" w:after="120"/>
        <w:ind w:hanging="360" w:start="907" w:end="0"/>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C.</w:t>
        <w:tab/>
        <w:t>Conclusion</w:t>
      </w:r>
    </w:p>
    <w:p>
      <w:pPr>
        <w:pStyle w:val="PlainText"/>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Taken as a whole, the retail portion of the Settlement Agreement provides benefits to all SoCalGas and SDG&amp;E customers well in excess of the costs incurred to implement the retail measures, thus “preserving the low costs currently enjoyed by California natural gas customers” (I.99-07-003, pp. 5, CoL 7)</w:t>
      </w:r>
    </w:p>
    <w:p>
      <w:pPr>
        <w:pStyle w:val="PlainText"/>
        <w:tabs>
          <w:tab w:val="clear" w:pos="360"/>
          <w:tab w:val="left" w:pos="540" w:leader="none"/>
        </w:tabs>
        <w:spacing w:lineRule="auto" w:line="360" w:before="0" w:after="12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IV.</w:t>
        <w:tab/>
        <w:t>Detailed Settlement Proposals Addressing Promising Options</w:t>
      </w:r>
    </w:p>
    <w:p>
      <w:pPr>
        <w:pStyle w:val="Heading2"/>
        <w:spacing w:lineRule="auto" w:line="360"/>
        <w:ind w:hanging="360" w:start="907" w:end="0"/>
        <w:rPr>
          <w:b/>
          <w:bCs/>
          <w:i/>
          <w:i/>
          <w:iCs/>
          <w:sz w:val="24"/>
          <w:szCs w:val="24"/>
          <w:u w:val="none"/>
        </w:rPr>
      </w:pPr>
      <w:r>
        <w:rPr>
          <w:b/>
          <w:bCs/>
          <w:i/>
          <w:iCs/>
          <w:sz w:val="24"/>
          <w:szCs w:val="24"/>
          <w:u w:val="none"/>
        </w:rPr>
        <w:t>A.</w:t>
        <w:tab/>
        <w:t>Eliminate Core Aggregation Volume Cap</w:t>
        <w:br/>
      </w:r>
      <w:r>
        <w:rPr>
          <w:i/>
          <w:iCs/>
          <w:sz w:val="24"/>
          <w:szCs w:val="24"/>
          <w:u w:val="none"/>
        </w:rPr>
        <w:t>(Promising Option numbered 1 above and Section 5.2 of Settlement Agreement)</w:t>
      </w:r>
    </w:p>
    <w:p>
      <w:pPr>
        <w:pStyle w:val="BodyText"/>
        <w:spacing w:lineRule="auto" w:line="360" w:before="0" w:after="120"/>
        <w:ind w:firstLine="360" w:start="547" w:end="0"/>
        <w:rPr/>
      </w:pPr>
      <w:r>
        <w:rPr/>
        <w:t xml:space="preserve">Currently, there is a 10 percent cap for each utility, thus limiting the percentage of total core market share by volume that can be served by CTA program marketers on the SoCalGas and SDG&amp;E systems.  From the inception of the program in 1991 to 1998, customer participation was fairly stable on the SoCalGas system, ranging from approximately 7,000 to 9,000 customers representing about four percent of core market volume.  There are now more than 24,000 SoCalGas customers on the CTA program, representing 4.3 percent of total core load.  This increase in customer participation is attributed to residential customers who have recently joined the program. On the SDG&amp;E system, there are currently almost 3,000 customers representing 3.8 percent of core volumes participating in the CTA program.  </w:t>
      </w:r>
      <w:r>
        <w:br w:type="page"/>
      </w:r>
    </w:p>
    <w:p>
      <w:pPr>
        <w:pStyle w:val="BodyText"/>
        <w:spacing w:lineRule="auto" w:line="360" w:before="0" w:after="120"/>
        <w:ind w:firstLine="360" w:start="547" w:end="0"/>
        <w:rPr/>
      </w:pPr>
      <w:r>
        <w:rPr/>
        <w:t>Currently, customer choice processing and customer-account management are primarily manual processes which were designed to handle low customer participation levels in the relatively stable environment which was expected as long as the 10 percent volume cap was in place.  At the time the computer-based business systems to manage the CTA program were developed in 1991, there was no reason to foresee the present natural gas OII and expansion of the CTA program beyond the 10 percent cap (measured by volume), and it was not expected that a significant number of residential customers would participate. However, the capacity portion and the billing provisions of this Settlement Agreement are anticipated to lead to a significant resurgence in interest in the CTA program, both by customers and ESPs.</w:t>
      </w:r>
      <w:r>
        <w:rPr>
          <w:rStyle w:val="FootnoteCharacters"/>
          <w:rStyle w:val="FootnoteReference"/>
          <w:sz w:val="24"/>
          <w:szCs w:val="24"/>
        </w:rPr>
        <w:footnoteReference w:id="12"/>
      </w:r>
      <w:r>
        <w:rPr/>
        <w:t xml:space="preserve">  Thus, the first order of business should be to eliminate the 10 percent volume cap to ensure that no core customers are precluded from enjoying the benefits outlined in the Settlement Agreement. Adopting this change will also provide statewide consistency in CTA programs. </w:t>
      </w:r>
    </w:p>
    <w:p>
      <w:pPr>
        <w:pStyle w:val="BodyText"/>
        <w:spacing w:lineRule="auto" w:line="360" w:before="0" w:after="120"/>
        <w:ind w:firstLine="360" w:start="547" w:end="0"/>
        <w:rPr/>
      </w:pPr>
      <w:r>
        <w:rPr/>
        <w:t xml:space="preserve">If competition is to work for these smaller customers, the data management systems necessary to transfer them efficiently to unbundled service must be in place before a significantly larger number of ESPs will seek new customers.   The customer-switching and customer information transfer processes must be standardized and automated to make the switch quickly and error-free, to create confidence in this program, and to minimize transactions costs.  This Settlement Agreement endorses the principle that the gas utilities move toward standards and requirements that generally mirror the electric utility Direct Access Service Request (DASR) standards and requirements.  It is very important for ESPs to have only one set of rules and standards across both gas and electricity to the extent possible to encourage more energy suppliers to participate in the CTA program and to desire to serve small use customers.  </w:t>
      </w:r>
      <w:r>
        <w:br w:type="page"/>
      </w:r>
    </w:p>
    <w:p>
      <w:pPr>
        <w:pStyle w:val="BodyText"/>
        <w:spacing w:lineRule="auto" w:line="360" w:before="0" w:after="120"/>
        <w:ind w:firstLine="360" w:start="547" w:end="0"/>
        <w:rPr/>
      </w:pPr>
      <w:r>
        <w:rPr/>
        <w:t>Both SoCalGas and SDG&amp;E need to automate their computer-based business systems in order to accommodate the anticipated much higher volume of core customer participation, and to provide an account maintenance system to transfer changing customer information to ESPs (currently, ESPs must obtain this new information about the customer directly from the customer).  A new Service Request/Account Management system would be established to facilitate customer choice and the exchange of customer and billing information between the ESPs and the utilities.  The system would be a joint system shared by both companies.  It would be fully automated and would include electronic (e.g. electronic data interchange, or EDI, or Web-enabled) gas DASR transmittal and processing, a gas DASR management database with information reporting functions, electronic meter read data transfer system, electronic billing data transfer system for utility charges provided to ESPs who provide consolidated billing, and customer account maintenance transactions. Additionally, the joint system would also process electric DASRs and would further automate the electric process (e.g., automate the account set-up, which is currently done manually.)</w:t>
      </w:r>
    </w:p>
    <w:p>
      <w:pPr>
        <w:pStyle w:val="BodyTextContinued"/>
        <w:widowControl/>
        <w:spacing w:lineRule="auto" w:line="360" w:before="0" w:after="120"/>
        <w:ind w:firstLine="360" w:start="547" w:end="0"/>
        <w:rPr/>
      </w:pPr>
      <w:r>
        <w:rPr/>
        <w:t>The projected cost of a joint computer-based system for both SoCalGas and SDG&amp;E is $7.1 million, broken down into $1.5 million in hardware infrastructure costs to store the data and communicate with utility billing systems and ESP billing systems, and $3 million for the computer programming to implement the necessary joint systems, and $4.6 million to fully integrate with customer information systems and other interfacing systems (e.g., MDMA).  These capital investments will provide the following:</w:t>
      </w:r>
    </w:p>
    <w:p>
      <w:pPr>
        <w:pStyle w:val="Normal"/>
        <w:numPr>
          <w:ilvl w:val="0"/>
          <w:numId w:val="4"/>
        </w:numPr>
        <w:tabs>
          <w:tab w:val="clear" w:pos="360"/>
          <w:tab w:val="left" w:pos="0" w:leader="none"/>
        </w:tabs>
        <w:spacing w:lineRule="auto" w:line="360" w:before="0" w:after="120"/>
        <w:ind w:hanging="360" w:start="1260" w:end="0"/>
        <w:rPr>
          <w:sz w:val="24"/>
          <w:szCs w:val="24"/>
        </w:rPr>
      </w:pPr>
      <w:r>
        <w:rPr>
          <w:sz w:val="24"/>
          <w:szCs w:val="24"/>
        </w:rPr>
        <w:t>Electronic data transmission to and from ESPs via EDI or Web-enabled</w:t>
      </w:r>
    </w:p>
    <w:p>
      <w:pPr>
        <w:pStyle w:val="Normal"/>
        <w:numPr>
          <w:ilvl w:val="0"/>
          <w:numId w:val="4"/>
        </w:numPr>
        <w:tabs>
          <w:tab w:val="clear" w:pos="360"/>
          <w:tab w:val="left" w:pos="0" w:leader="none"/>
        </w:tabs>
        <w:spacing w:lineRule="auto" w:line="360" w:before="0" w:after="120"/>
        <w:ind w:hanging="360" w:start="1260" w:end="0"/>
        <w:rPr>
          <w:sz w:val="24"/>
          <w:szCs w:val="24"/>
        </w:rPr>
      </w:pPr>
      <w:r>
        <w:rPr>
          <w:sz w:val="24"/>
          <w:szCs w:val="24"/>
        </w:rPr>
        <w:t>Validation of transfer of service requests</w:t>
      </w:r>
    </w:p>
    <w:p>
      <w:pPr>
        <w:pStyle w:val="Normal"/>
        <w:numPr>
          <w:ilvl w:val="0"/>
          <w:numId w:val="4"/>
        </w:numPr>
        <w:tabs>
          <w:tab w:val="clear" w:pos="360"/>
          <w:tab w:val="left" w:pos="0" w:leader="none"/>
        </w:tabs>
        <w:spacing w:lineRule="auto" w:line="360" w:before="0" w:after="120"/>
        <w:ind w:hanging="360" w:start="1260" w:end="0"/>
        <w:rPr>
          <w:sz w:val="24"/>
          <w:szCs w:val="24"/>
        </w:rPr>
      </w:pPr>
      <w:r>
        <w:rPr>
          <w:sz w:val="24"/>
          <w:szCs w:val="24"/>
        </w:rPr>
        <w:t>Communication of account information to ESPs</w:t>
      </w:r>
    </w:p>
    <w:p>
      <w:pPr>
        <w:pStyle w:val="Normal"/>
        <w:numPr>
          <w:ilvl w:val="0"/>
          <w:numId w:val="4"/>
        </w:numPr>
        <w:tabs>
          <w:tab w:val="clear" w:pos="360"/>
          <w:tab w:val="left" w:pos="0" w:leader="none"/>
        </w:tabs>
        <w:spacing w:lineRule="auto" w:line="360" w:before="0" w:after="120"/>
        <w:ind w:hanging="720" w:start="1620" w:end="0"/>
        <w:rPr>
          <w:sz w:val="24"/>
          <w:szCs w:val="24"/>
        </w:rPr>
      </w:pPr>
      <w:r>
        <w:rPr>
          <w:sz w:val="24"/>
          <w:szCs w:val="24"/>
        </w:rPr>
        <w:t>Mass change of accounts from one ESP to another</w:t>
      </w:r>
    </w:p>
    <w:p>
      <w:pPr>
        <w:pStyle w:val="Normal"/>
        <w:numPr>
          <w:ilvl w:val="0"/>
          <w:numId w:val="4"/>
        </w:numPr>
        <w:tabs>
          <w:tab w:val="clear" w:pos="360"/>
          <w:tab w:val="left" w:pos="0" w:leader="none"/>
        </w:tabs>
        <w:spacing w:lineRule="auto" w:line="360" w:before="0" w:after="120"/>
        <w:ind w:hanging="720" w:start="1620" w:end="0"/>
        <w:rPr>
          <w:sz w:val="24"/>
          <w:szCs w:val="24"/>
        </w:rPr>
      </w:pPr>
      <w:r>
        <w:rPr>
          <w:sz w:val="24"/>
          <w:szCs w:val="24"/>
        </w:rPr>
        <w:t>Automated set up of accounts in billing system including turn-on order, billing options, and EDI</w:t>
      </w:r>
    </w:p>
    <w:p>
      <w:pPr>
        <w:pStyle w:val="Normal"/>
        <w:numPr>
          <w:ilvl w:val="0"/>
          <w:numId w:val="4"/>
        </w:numPr>
        <w:tabs>
          <w:tab w:val="clear" w:pos="360"/>
          <w:tab w:val="left" w:pos="0" w:leader="none"/>
        </w:tabs>
        <w:spacing w:lineRule="auto" w:line="360" w:before="0" w:after="120"/>
        <w:ind w:hanging="720" w:start="1620" w:end="0"/>
        <w:rPr>
          <w:sz w:val="24"/>
          <w:szCs w:val="24"/>
        </w:rPr>
      </w:pPr>
      <w:r>
        <w:rPr>
          <w:sz w:val="24"/>
          <w:szCs w:val="24"/>
        </w:rPr>
        <w:t>Account maintenance updates to/from ESP</w:t>
      </w:r>
    </w:p>
    <w:p>
      <w:pPr>
        <w:pStyle w:val="Normal"/>
        <w:numPr>
          <w:ilvl w:val="0"/>
          <w:numId w:val="4"/>
        </w:numPr>
        <w:tabs>
          <w:tab w:val="clear" w:pos="360"/>
          <w:tab w:val="left" w:pos="0" w:leader="none"/>
        </w:tabs>
        <w:spacing w:lineRule="auto" w:line="360" w:before="0" w:after="120"/>
        <w:ind w:hanging="720" w:start="1620" w:end="0"/>
        <w:rPr>
          <w:sz w:val="24"/>
          <w:szCs w:val="24"/>
        </w:rPr>
      </w:pPr>
      <w:r>
        <w:rPr>
          <w:sz w:val="24"/>
          <w:szCs w:val="24"/>
        </w:rPr>
        <w:t>Communication to customer</w:t>
      </w:r>
    </w:p>
    <w:p>
      <w:pPr>
        <w:pStyle w:val="Normal"/>
        <w:numPr>
          <w:ilvl w:val="0"/>
          <w:numId w:val="4"/>
        </w:numPr>
        <w:tabs>
          <w:tab w:val="clear" w:pos="360"/>
          <w:tab w:val="left" w:pos="0" w:leader="none"/>
        </w:tabs>
        <w:spacing w:lineRule="auto" w:line="360" w:before="0" w:after="120"/>
        <w:ind w:hanging="720" w:start="1620" w:end="0"/>
        <w:rPr>
          <w:sz w:val="24"/>
          <w:szCs w:val="24"/>
        </w:rPr>
      </w:pPr>
      <w:r>
        <w:rPr>
          <w:sz w:val="24"/>
          <w:szCs w:val="24"/>
        </w:rPr>
        <w:t>Preparation of various reports to ESPs and the CPUC.</w:t>
      </w:r>
    </w:p>
    <w:p>
      <w:pPr>
        <w:pStyle w:val="BodyTextContinued"/>
        <w:numPr>
          <w:ilvl w:val="0"/>
          <w:numId w:val="0"/>
        </w:numPr>
        <w:spacing w:lineRule="auto" w:line="360" w:before="0" w:after="120"/>
        <w:ind w:hanging="0" w:start="547" w:end="0"/>
        <w:rPr/>
      </w:pPr>
      <w:r>
        <w:rPr/>
        <w:t xml:space="preserve">SDG&amp;E expects one-time costs of $300,000 for added manual processing until the automated systems are put into place.  </w:t>
      </w:r>
    </w:p>
    <w:p>
      <w:pPr>
        <w:pStyle w:val="BodyTextContinued"/>
        <w:numPr>
          <w:ilvl w:val="0"/>
          <w:numId w:val="0"/>
        </w:numPr>
        <w:spacing w:lineRule="auto" w:line="360" w:before="0" w:after="120"/>
        <w:ind w:hanging="0" w:start="547" w:end="0"/>
        <w:rPr/>
      </w:pPr>
      <w:r>
        <w:rPr/>
        <w:t xml:space="preserve">In addition, there are significant expected on-going costs that will vary depending on the number of customers choosing non-utility gas procurement  related to exception processing of DASRs, mailing expense for customer notification letters, and customer inquiries about customer choice in gas procurement in general. </w:t>
      </w:r>
    </w:p>
    <w:p>
      <w:pPr>
        <w:pStyle w:val="BodyTextContinued"/>
        <w:numPr>
          <w:ilvl w:val="0"/>
          <w:numId w:val="0"/>
        </w:numPr>
        <w:spacing w:lineRule="auto" w:line="360" w:before="0" w:after="120"/>
        <w:ind w:hanging="0" w:start="547" w:end="0"/>
        <w:rPr/>
      </w:pPr>
      <w:r>
        <w:rPr/>
        <w:t xml:space="preserve">There are no significant labor or safety impacts.  </w:t>
      </w:r>
    </w:p>
    <w:p>
      <w:pPr>
        <w:pStyle w:val="Heading2"/>
        <w:numPr>
          <w:ilvl w:val="0"/>
          <w:numId w:val="0"/>
        </w:numPr>
        <w:spacing w:lineRule="auto" w:line="360"/>
        <w:ind w:hanging="0" w:start="907" w:end="0"/>
        <w:rPr>
          <w:b/>
          <w:bCs/>
          <w:i/>
          <w:i/>
          <w:iCs/>
          <w:sz w:val="24"/>
          <w:szCs w:val="24"/>
          <w:u w:val="none"/>
        </w:rPr>
      </w:pPr>
      <w:r>
        <w:rPr>
          <w:b/>
          <w:bCs/>
          <w:i/>
          <w:iCs/>
          <w:sz w:val="24"/>
          <w:szCs w:val="24"/>
          <w:u w:val="none"/>
        </w:rPr>
        <w:t>B.</w:t>
        <w:tab/>
        <w:t>Provide Customer-Specific Usage Data</w:t>
        <w:br/>
      </w:r>
      <w:r>
        <w:rPr>
          <w:i/>
          <w:iCs/>
          <w:sz w:val="24"/>
          <w:szCs w:val="24"/>
          <w:u w:val="none"/>
        </w:rPr>
        <w:t>(Promising Option numbered 2 above and Section 6.1 of Settlement Agreement)</w:t>
      </w:r>
    </w:p>
    <w:p>
      <w:pPr>
        <w:pStyle w:val="Bullet3"/>
        <w:numPr>
          <w:ilvl w:val="0"/>
          <w:numId w:val="0"/>
        </w:numPr>
        <w:spacing w:lineRule="auto" w:line="360" w:before="0" w:after="120"/>
        <w:ind w:hanging="0" w:start="547" w:end="0"/>
        <w:rPr/>
      </w:pPr>
      <w:r>
        <w:rPr/>
        <w:t>ESPs are satisfied with the existing universe of available SoCalGas customer consumption data, but are not satisfied with information delivery options and data presentation. Specifically, ESPs desire that the utilities present consumption data in consistent formats across different contexts (e.g., EDI billing of line items, imbalance statements to ESPs, historical statements for prospective ESP end-users).</w:t>
      </w:r>
    </w:p>
    <w:p>
      <w:pPr>
        <w:pStyle w:val="Normal"/>
        <w:numPr>
          <w:ilvl w:val="0"/>
          <w:numId w:val="0"/>
        </w:numPr>
        <w:spacing w:lineRule="auto" w:line="360" w:before="0" w:after="120"/>
        <w:ind w:hanging="0" w:start="547" w:end="0"/>
        <w:rPr>
          <w:sz w:val="24"/>
          <w:szCs w:val="24"/>
        </w:rPr>
      </w:pPr>
      <w:r>
        <w:rPr>
          <w:sz w:val="24"/>
          <w:szCs w:val="24"/>
        </w:rPr>
        <w:t xml:space="preserve">SoCalGas customers already have access to information regarding their own gas usage through a variety of sources including the Customer Service Connection (on SoCalGas’ website), the Call Center, and GasSelect®.  SDG&amp;E customers already have access to usage information through Energy Waves (on SDG&amp;E’s website) and through the Call Center.  SDG&amp;E’s non-core self procurement customers have access to their daily usage via the “Energy Bulletin Board”.  For electric customers, SDG&amp;E sends 12 months of usage data electronically to service providers upon acceptance of a request to switch service.  This electronic delivery will be made available to ESPs for gas customers.  In addition, SoCalGas and SDG&amp;E have agreed under the Settlement Agreement to convene data access workshops by June 16, 2000, with parties to reach agreement on improved access and delivery procedures.  This would allow the utilities time to integrate the computer programming changes with the new customer choice/account management systems.  Working with ESPs to develop standards for data transfer at the time the computer systems are being developed will reduce future programming costs.   </w:t>
      </w:r>
    </w:p>
    <w:p>
      <w:pPr>
        <w:pStyle w:val="Normal"/>
        <w:numPr>
          <w:ilvl w:val="0"/>
          <w:numId w:val="0"/>
        </w:numPr>
        <w:spacing w:lineRule="auto" w:line="360" w:before="0" w:after="120"/>
        <w:ind w:hanging="0" w:start="547" w:end="0"/>
        <w:rPr>
          <w:sz w:val="24"/>
          <w:szCs w:val="24"/>
        </w:rPr>
      </w:pPr>
      <w:r>
        <w:rPr>
          <w:sz w:val="24"/>
          <w:szCs w:val="24"/>
        </w:rPr>
        <w:t>Other data requested by non-utility parties or by customers will be provided as long as SoCalGas and SDG&amp;E are not required to make any substantial changes to their current computer systems.  SoCalGas and SDG&amp;E will work with customers and/or ESPs to provide customer-specific information, consistent with consumer protection and privacy considerations. Customers and/or ESPs will pay the reasonable cost of any requests for additional information.</w:t>
      </w:r>
    </w:p>
    <w:p>
      <w:pPr>
        <w:pStyle w:val="Normal"/>
        <w:numPr>
          <w:ilvl w:val="0"/>
          <w:numId w:val="0"/>
        </w:numPr>
        <w:spacing w:lineRule="auto" w:line="360" w:before="0" w:after="120"/>
        <w:ind w:hanging="0" w:start="547" w:end="0"/>
        <w:rPr>
          <w:sz w:val="24"/>
          <w:szCs w:val="24"/>
        </w:rPr>
      </w:pPr>
      <w:r>
        <w:rPr>
          <w:sz w:val="24"/>
          <w:szCs w:val="24"/>
        </w:rPr>
        <w:t xml:space="preserve">Information related to the calculation of transportation bills and historical consumption will remain with the utilities, so there are no safety impacts in the provision of information to customers.  The utility can still use the measured usage data as a starting point for safety investigations.  And, the expected result of increased provision of data is more work for existing employees. </w:t>
      </w:r>
    </w:p>
    <w:p>
      <w:pPr>
        <w:pStyle w:val="Normal"/>
        <w:numPr>
          <w:ilvl w:val="0"/>
          <w:numId w:val="0"/>
        </w:numPr>
        <w:spacing w:lineRule="auto" w:line="360" w:before="0" w:after="120"/>
        <w:ind w:hanging="0" w:start="907" w:end="0"/>
        <w:rPr>
          <w:b/>
          <w:bCs/>
          <w:i/>
          <w:i/>
          <w:iCs/>
          <w:sz w:val="24"/>
          <w:szCs w:val="24"/>
        </w:rPr>
      </w:pPr>
      <w:r>
        <w:rPr>
          <w:b/>
          <w:bCs/>
          <w:i/>
          <w:iCs/>
          <w:sz w:val="24"/>
          <w:szCs w:val="24"/>
        </w:rPr>
        <w:t>C.</w:t>
        <w:tab/>
        <w:t>Enable Utility Consolidated Billing</w:t>
        <w:br/>
      </w:r>
      <w:r>
        <w:rPr>
          <w:i/>
          <w:iCs/>
          <w:sz w:val="24"/>
          <w:szCs w:val="24"/>
        </w:rPr>
        <w:t>(Promising Option numbered 3 above and Section 7.2.3 of Settlement Agreement)</w:t>
      </w:r>
    </w:p>
    <w:p>
      <w:pPr>
        <w:pStyle w:val="BodyTextContinued"/>
        <w:numPr>
          <w:ilvl w:val="0"/>
          <w:numId w:val="0"/>
        </w:numPr>
        <w:spacing w:lineRule="auto" w:line="360" w:before="0" w:after="120"/>
        <w:ind w:hanging="0" w:start="547" w:end="0"/>
        <w:rPr/>
      </w:pPr>
      <w:r>
        <w:rPr/>
        <w:t>Currently, ESPs who sell gas to residential and small commercial customers have two billing options open to them.  The first option is for the ESP to bill for the gas commodity and have the utility bill for its own gas transportation charges.  The second option is for the ESP to bill for its own gas procurement service as well as the utility’s transportation service (whereby the utility calculates the transportation bill but passes on the data in summary form to the ESP).  A third potential billing option, utility consolidated billing, where the utility would bill for both  transportation service and the ESP’s gas commodity, is not presently available.  This third option is available to ESPs for sales of electricity, and the Commission has recommended in D. 99-07-015 that the gas industry reflect the same options as currently exist in the electric industry.</w:t>
      </w:r>
      <w:r>
        <w:br w:type="page"/>
      </w:r>
    </w:p>
    <w:p>
      <w:pPr>
        <w:pStyle w:val="BodyTextContinued"/>
        <w:numPr>
          <w:ilvl w:val="0"/>
          <w:numId w:val="0"/>
        </w:numPr>
        <w:spacing w:lineRule="auto" w:line="360" w:before="0" w:after="120"/>
        <w:ind w:hanging="0" w:start="540" w:end="0"/>
        <w:rPr/>
      </w:pPr>
      <w:r>
        <w:rPr/>
        <w:t>Major differences also exist with respect to billing between the electric industry and the natural gas industry, related to information and timing standards.  In particular, there are specific standards in place for the electric industry that are not yet part of the current CTA program rules.  Specifically, standards for EDI billing, bill adjustments, customer account maintenance, measurement timing, and accuracy standards need to be established for gas.</w:t>
      </w:r>
    </w:p>
    <w:p>
      <w:pPr>
        <w:pStyle w:val="Bullet3"/>
        <w:numPr>
          <w:ilvl w:val="0"/>
          <w:numId w:val="0"/>
        </w:numPr>
        <w:spacing w:lineRule="auto" w:line="360" w:before="0" w:after="120"/>
        <w:ind w:hanging="0" w:start="540" w:end="0"/>
        <w:rPr/>
      </w:pPr>
      <w:r>
        <w:rPr/>
        <w:t xml:space="preserve">The Settlement Agreement proposes that SoCalGas and SDG&amp;E may offer a consolidated billing option to ESPs as soon as utility billing system modifications allow it.  Details of this billing option (including standards for EDI billing, bill adjustments, account maintenance, measurement timing, accuracy standards, collection procedures and any fees to ESPs for consolidated billing related services) will be filed with the Commission in the advice letters implementing this Settlement Agreement.  </w:t>
      </w:r>
    </w:p>
    <w:p>
      <w:pPr>
        <w:pStyle w:val="Bullet3"/>
        <w:numPr>
          <w:ilvl w:val="0"/>
          <w:numId w:val="0"/>
        </w:numPr>
        <w:spacing w:lineRule="auto" w:line="360" w:before="0" w:after="120"/>
        <w:ind w:hanging="0" w:start="540" w:end="0"/>
        <w:rPr/>
      </w:pPr>
      <w:r>
        <w:rPr/>
        <w:t xml:space="preserve">The major benefits of these billing changes are to provide one set of rules across two industries as much as possible to reduce transaction costs, ensure consistency wherever feasible, improve the efficiency of the process, and reduce barriers to entry. To the extent the gas utility consolidated billing standards and requirements mirror the electric utility billing standards, fewer costs are imposed on energy suppliers who desire to provide both gas and electricity to customers, affording the opportunity to pass the savings on to consumers.  And to the extent the gas utility consolidated billing standards and requirements are consistent, statewide barriers to entry will be reduced and fewer costs will be imposed on energy suppliers who want to provide both gas and electricity to customers with facilities throughout the state.  </w:t>
      </w:r>
    </w:p>
    <w:p>
      <w:pPr>
        <w:pStyle w:val="Bullet3"/>
        <w:numPr>
          <w:ilvl w:val="0"/>
          <w:numId w:val="0"/>
        </w:numPr>
        <w:spacing w:lineRule="auto" w:line="360" w:before="0" w:after="120"/>
        <w:ind w:hanging="0" w:start="540" w:end="0"/>
        <w:rPr/>
      </w:pPr>
      <w:r>
        <w:rPr/>
        <w:t xml:space="preserve">The option of utility consolidated billing, combined with restructuring of upstream transmission and storage operations, can have a significant impact on competition.  In Ohio, over 30 percent of Columbia Natural Gas of Ohio’s customers purchase gas from suppliers other than the utility; but what is important to note is that almost 100 percent of small customers who have switched to an ESP are served by suppliers who opted for utility </w:t>
      </w:r>
      <w:r>
        <w:br w:type="page"/>
      </w:r>
    </w:p>
    <w:p>
      <w:pPr>
        <w:pStyle w:val="Bullet3"/>
        <w:numPr>
          <w:ilvl w:val="0"/>
          <w:numId w:val="0"/>
        </w:numPr>
        <w:spacing w:lineRule="auto" w:line="360" w:before="0" w:after="120"/>
        <w:ind w:hanging="0" w:start="540" w:end="0"/>
        <w:rPr/>
      </w:pPr>
      <w:r>
        <w:rPr/>
        <w:t>consolidated billing.</w:t>
      </w:r>
      <w:r>
        <w:rPr>
          <w:rStyle w:val="FootnoteCharacters"/>
          <w:rStyle w:val="FootnoteReference"/>
          <w:sz w:val="24"/>
          <w:szCs w:val="24"/>
        </w:rPr>
        <w:footnoteReference w:id="13"/>
      </w:r>
      <w:r>
        <w:rPr/>
        <w:t xml:space="preserve">   SoCalGas believes that the utility consolidated billing option will bring new ESPs into the southern California marketplace to serve the residential and small business segment as experienced in Ohio. </w:t>
      </w:r>
    </w:p>
    <w:p>
      <w:pPr>
        <w:pStyle w:val="Bullet3"/>
        <w:numPr>
          <w:ilvl w:val="0"/>
          <w:numId w:val="0"/>
        </w:numPr>
        <w:spacing w:lineRule="auto" w:line="360" w:before="0" w:after="120"/>
        <w:ind w:hanging="0" w:start="540" w:end="0"/>
        <w:rPr/>
      </w:pPr>
      <w:r>
        <w:rPr/>
        <w:t>In addition, alignment of gas and electric rules in the billing area will have a similar impact on ESPs currently serving the residential customers and small businesses in the California electric market.  By, changing the gas rules, hopefully many of these companies will enter the gas market in California to provide more options to gas customers.</w:t>
      </w:r>
    </w:p>
    <w:p>
      <w:pPr>
        <w:pStyle w:val="Normal"/>
        <w:numPr>
          <w:ilvl w:val="0"/>
          <w:numId w:val="0"/>
        </w:numPr>
        <w:spacing w:lineRule="auto" w:line="360" w:before="0" w:after="120"/>
        <w:ind w:hanging="0" w:start="540" w:end="0"/>
        <w:rPr>
          <w:sz w:val="24"/>
          <w:szCs w:val="24"/>
        </w:rPr>
      </w:pPr>
      <w:r>
        <w:rPr>
          <w:sz w:val="24"/>
          <w:szCs w:val="24"/>
        </w:rPr>
        <w:t>The current SoCalGas gas billing system is not designed to provide utility consolidated billing.   For example, SoCalGas system cannot currently receive rate or bill information electronically from outside service providers, or reflect those charges on the bill.  The current SoCalGas billing system also cannot track non-utility procurement charges to ensure ESP funds are properly processed.  Thus,the extent of changes to the gas billing system for SoCalGas is expected to be on the same order of magnitude as the electric companies experienced in electric industry restructuring.   The required changes are less extensive for SDG&amp;E because it already offers consolidated billing for electricity and has made extensive revisions to its customer information systems.  Nevertheless, there are still costs to implement utility consolidated billing for SDG&amp;E.</w:t>
      </w:r>
    </w:p>
    <w:p>
      <w:pPr>
        <w:pStyle w:val="Normal"/>
        <w:numPr>
          <w:ilvl w:val="0"/>
          <w:numId w:val="0"/>
        </w:numPr>
        <w:spacing w:lineRule="auto" w:line="360" w:before="0" w:after="120"/>
        <w:ind w:hanging="0" w:start="547" w:end="0"/>
        <w:rPr>
          <w:sz w:val="24"/>
          <w:szCs w:val="24"/>
        </w:rPr>
      </w:pPr>
      <w:r>
        <w:rPr>
          <w:sz w:val="24"/>
          <w:szCs w:val="24"/>
        </w:rPr>
        <w:t>To provide consolidated billing on a mass market basis, one must consider all of the information linkages and interfaces required to obtain the data from multiple ESPs regarding their large number of customer bills, providing enough flexibility for the ESPs to offer different prices to different customers, tracking of revenue streams for both the utility and multiple ESPs, and providing timely and accurate revenue transfers to the ESPs.  Basic structure changes to the customer information systems will allow the following:</w:t>
      </w:r>
    </w:p>
    <w:p>
      <w:pPr>
        <w:pStyle w:val="Normal"/>
        <w:numPr>
          <w:ilvl w:val="0"/>
          <w:numId w:val="4"/>
        </w:numPr>
        <w:tabs>
          <w:tab w:val="clear" w:pos="360"/>
          <w:tab w:val="left" w:pos="0" w:leader="none"/>
          <w:tab w:val="right" w:pos="6840" w:leader="none"/>
          <w:tab w:val="right" w:pos="8280" w:leader="none"/>
        </w:tabs>
        <w:spacing w:lineRule="auto" w:line="360" w:before="0" w:after="120"/>
        <w:ind w:hanging="720" w:start="1627" w:end="0"/>
        <w:rPr>
          <w:sz w:val="24"/>
          <w:szCs w:val="24"/>
        </w:rPr>
      </w:pPr>
      <w:r>
        <w:rPr>
          <w:sz w:val="24"/>
          <w:szCs w:val="24"/>
        </w:rPr>
        <w:t>Segregation of charges and revenue by business entity including bill charges, taxes, payments, etc.</w:t>
      </w:r>
    </w:p>
    <w:p>
      <w:pPr>
        <w:pStyle w:val="BodyText"/>
        <w:numPr>
          <w:ilvl w:val="0"/>
          <w:numId w:val="4"/>
        </w:numPr>
        <w:tabs>
          <w:tab w:val="clear" w:pos="360"/>
          <w:tab w:val="left" w:pos="0" w:leader="none"/>
          <w:tab w:val="right" w:pos="6840" w:leader="none"/>
          <w:tab w:val="right" w:pos="8280" w:leader="none"/>
        </w:tabs>
        <w:spacing w:lineRule="auto" w:line="360" w:before="0" w:after="120"/>
        <w:ind w:hanging="720" w:start="1627" w:end="0"/>
        <w:rPr/>
      </w:pPr>
      <w:r>
        <w:rPr/>
        <w:t>Payment allocation by charge type and business entity</w:t>
      </w:r>
    </w:p>
    <w:p>
      <w:pPr>
        <w:pStyle w:val="Normal"/>
        <w:numPr>
          <w:ilvl w:val="0"/>
          <w:numId w:val="4"/>
        </w:numPr>
        <w:tabs>
          <w:tab w:val="clear" w:pos="360"/>
          <w:tab w:val="left" w:pos="0" w:leader="none"/>
          <w:tab w:val="right" w:pos="6840" w:leader="none"/>
          <w:tab w:val="right" w:pos="8280" w:leader="none"/>
        </w:tabs>
        <w:spacing w:lineRule="auto" w:line="360" w:before="0" w:after="120"/>
        <w:ind w:hanging="720" w:start="1627" w:end="0"/>
        <w:rPr>
          <w:sz w:val="24"/>
          <w:szCs w:val="24"/>
        </w:rPr>
      </w:pPr>
      <w:r>
        <w:rPr>
          <w:sz w:val="24"/>
          <w:szCs w:val="24"/>
        </w:rPr>
        <w:t>Bill format and print changes to accommodate ESP information.</w:t>
      </w:r>
    </w:p>
    <w:p>
      <w:pPr>
        <w:pStyle w:val="BodyText"/>
        <w:numPr>
          <w:ilvl w:val="0"/>
          <w:numId w:val="4"/>
        </w:numPr>
        <w:tabs>
          <w:tab w:val="clear" w:pos="360"/>
          <w:tab w:val="left" w:pos="0" w:leader="none"/>
          <w:tab w:val="right" w:pos="6840" w:leader="none"/>
          <w:tab w:val="right" w:pos="8280" w:leader="none"/>
        </w:tabs>
        <w:spacing w:lineRule="auto" w:line="360" w:before="0" w:after="120"/>
        <w:ind w:hanging="720" w:start="1627" w:end="0"/>
        <w:rPr/>
      </w:pPr>
      <w:r>
        <w:rPr/>
        <w:t>Billing function changes to separately track ESP charges and changes to the bill adjustment process.</w:t>
      </w:r>
    </w:p>
    <w:p>
      <w:pPr>
        <w:pStyle w:val="BodyText"/>
        <w:numPr>
          <w:ilvl w:val="0"/>
          <w:numId w:val="4"/>
        </w:numPr>
        <w:tabs>
          <w:tab w:val="clear" w:pos="360"/>
          <w:tab w:val="left" w:pos="0" w:leader="none"/>
          <w:tab w:val="right" w:pos="6840" w:leader="none"/>
          <w:tab w:val="right" w:pos="8280" w:leader="none"/>
        </w:tabs>
        <w:spacing w:lineRule="auto" w:line="360" w:before="0" w:after="120"/>
        <w:ind w:hanging="720" w:start="1627" w:end="0"/>
        <w:rPr/>
      </w:pPr>
      <w:r>
        <w:rPr/>
        <w:t>Additional storage of information on different ESP charge types</w:t>
      </w:r>
    </w:p>
    <w:p>
      <w:pPr>
        <w:pStyle w:val="BodyText"/>
        <w:numPr>
          <w:ilvl w:val="0"/>
          <w:numId w:val="4"/>
        </w:numPr>
        <w:tabs>
          <w:tab w:val="clear" w:pos="360"/>
          <w:tab w:val="left" w:pos="0" w:leader="none"/>
          <w:tab w:val="right" w:pos="6840" w:leader="none"/>
          <w:tab w:val="right" w:pos="8280" w:leader="none"/>
        </w:tabs>
        <w:spacing w:lineRule="auto" w:line="360" w:before="0" w:after="120"/>
        <w:ind w:hanging="360" w:start="1627" w:end="0"/>
        <w:rPr/>
      </w:pPr>
      <w:r>
        <w:rPr/>
        <w:t>Collections process for ESP balances</w:t>
      </w:r>
    </w:p>
    <w:p>
      <w:pPr>
        <w:pStyle w:val="BodyTextContinued"/>
        <w:spacing w:lineRule="auto" w:line="360" w:before="0" w:after="120"/>
        <w:ind w:firstLine="360" w:start="547" w:end="0"/>
        <w:rPr/>
      </w:pPr>
      <w:r>
        <w:rPr/>
        <w:t xml:space="preserve">The investment neccesary to offer utility consolidated billing amounts to $4.4 million in systems development costs for SoCalGas.  The basic structure to perform the above functions will require an additional investment of $2.3 million. The interface cost, to transfer appropriate billing and accounting information between all affected utility systems and ESPs, is $1.6 million.  The Bill Ready option, that would add an image of the ESP bill,  and Rate Ready option, that would calculate the ESP bill from ESP-provided rates, have a total cost of $ 0.5 million. </w:t>
      </w:r>
    </w:p>
    <w:p>
      <w:pPr>
        <w:pStyle w:val="BodyText"/>
        <w:spacing w:lineRule="auto" w:line="360" w:before="0" w:after="120"/>
        <w:ind w:firstLine="360" w:start="547" w:end="0"/>
        <w:rPr/>
      </w:pPr>
      <w:r>
        <w:rPr/>
        <w:t xml:space="preserve">The cost for SDG&amp;E to offer utility consolidated billing for gas is $0.7 million.  The programming changes include the ability to include ESP gas charges on their bill, as well as the associated payment and collections activities.  </w:t>
      </w:r>
    </w:p>
    <w:p>
      <w:pPr>
        <w:pStyle w:val="BodyText"/>
        <w:spacing w:lineRule="auto" w:line="360" w:before="0" w:after="120"/>
        <w:ind w:firstLine="360" w:start="547" w:end="0"/>
        <w:rPr/>
      </w:pPr>
      <w:r>
        <w:rPr/>
        <w:t xml:space="preserve">One-time O&amp;M costs include the development of materials and training for Billing, Phone Center, Credit and Order Processing personnel on new processes and system changes.  Additionally, call volumes are expected to increase due to bill format changes and inquiries about procurement choices.  Finally, calls from ESPs regarding processes and data will be high during the first year of implementation.  The total of these one-time O&amp;M costs is expected to be $920,000 for SoCalGas and $200,000 for SDG&amp;E.  </w:t>
      </w:r>
    </w:p>
    <w:p>
      <w:pPr>
        <w:pStyle w:val="BodyText"/>
        <w:spacing w:lineRule="auto" w:line="360" w:before="0" w:after="120"/>
        <w:ind w:firstLine="360" w:start="547" w:end="0"/>
        <w:rPr/>
      </w:pPr>
      <w:r>
        <w:rPr/>
        <w:t xml:space="preserve">On-going O&amp;M costs associated with utility consolidated billing include increased mailing expense for two-page page bills, clerical staff to answer additional customer and ESP inquiries concerning industry restructuring and billing practices, and increased account investigation for ESPs.  Additionally, new account reconciliation processes will be required to monitor and reconcile payments due to ESPs and adjustments to ESP accounts.  The total of these on-going O&amp;M costs is proportionally related to the number of customers participating in utility consolidated billing.  </w:t>
      </w:r>
    </w:p>
    <w:p>
      <w:pPr>
        <w:pStyle w:val="BodyTextContinued"/>
        <w:spacing w:lineRule="auto" w:line="360" w:before="0" w:after="120"/>
        <w:ind w:hanging="360" w:start="907" w:end="0"/>
        <w:rPr>
          <w:b/>
          <w:bCs/>
        </w:rPr>
      </w:pPr>
      <w:r>
        <w:rPr>
          <w:b/>
          <w:bCs/>
        </w:rPr>
        <w:t>D.</w:t>
        <w:tab/>
        <w:t>Terminate Information-only Bill Requirement</w:t>
      </w:r>
      <w:r>
        <w:rPr/>
        <w:br/>
        <w:t>(Promising Option numbered 3 above and Section 7.2.4 of Settlement Agreement)</w:t>
      </w:r>
    </w:p>
    <w:p>
      <w:pPr>
        <w:pStyle w:val="BodyTextContinued"/>
        <w:spacing w:lineRule="auto" w:line="360" w:before="0" w:after="120"/>
        <w:ind w:firstLine="360" w:start="547" w:end="0"/>
        <w:rPr/>
      </w:pPr>
      <w:r>
        <w:rPr/>
        <w:t>Currently, another difference between the electric industry and the natural gas industry is the Commission-ordered practice for the gas utility to send the customer an information-only bill under the CTA program if an ESP performs consolidated billing.  This procedure protects consumers, but the protection can be created at a far lesser cost through the provisions in the Settlement.  Elimination of this requirement reduces costs incurred by the utility and its customers, and increases the credit available for customers that obtain billing services from an ESP as provided under the Settlement.  Consistency across fuels is also furthered by this proposal as no such requirement exists in the electric industry.</w:t>
      </w:r>
    </w:p>
    <w:p>
      <w:pPr>
        <w:pStyle w:val="Bullet3"/>
        <w:widowControl w:val="false"/>
        <w:spacing w:lineRule="auto" w:line="360" w:before="0" w:after="120"/>
        <w:ind w:firstLine="360" w:start="547" w:end="0"/>
        <w:rPr/>
      </w:pPr>
      <w:r>
        <w:rPr/>
        <w:t xml:space="preserve">The Settlement replaces the gas utility practice of sending an information-only bill with a more efficient alternative.  It is proposed in the Settlement Agreement that for those ESPs who provide consolidated CTA billing to their customers and who provide information on the monthly utility gas transportation charges and rate data, along with the requisite bill inserts and customer protection materials in each end-user bill, the requirement for an information-only bill is discontinued.  The consumer is thereby protected in having the utility rates and charges clearly displayed in the ESP consolidated bill and in receiving all requisite informational materials that would otherwise be received directly from the utility in the form of an information-only bill.  </w:t>
      </w:r>
    </w:p>
    <w:p>
      <w:pPr>
        <w:pStyle w:val="Bullet3"/>
        <w:widowControl w:val="false"/>
        <w:spacing w:lineRule="auto" w:line="360" w:before="0" w:after="120"/>
        <w:ind w:firstLine="360" w:start="547" w:end="0"/>
        <w:rPr/>
      </w:pPr>
      <w:r>
        <w:rPr/>
        <w:t>This approach is consistent with the requirements for consolidated ESP billing in the electric industry.  By not sending the information-only bill, the utility saves the postage, materials, and other costs which can then be passed on to the consumer in the billing credit.  There are no safety issues since all safety-related materials must be provided to customers by the ESP.  There are no labor issues since the sending of the information-only bill is fully automated.</w:t>
      </w:r>
      <w:r>
        <w:br w:type="page"/>
      </w:r>
    </w:p>
    <w:p>
      <w:pPr>
        <w:pStyle w:val="BodyText"/>
        <w:spacing w:lineRule="auto" w:line="360" w:before="0" w:after="120"/>
        <w:ind w:hanging="360" w:start="907" w:end="0"/>
        <w:rPr>
          <w:b/>
          <w:bCs/>
          <w:i/>
          <w:i/>
          <w:iCs/>
        </w:rPr>
      </w:pPr>
      <w:r>
        <w:rPr>
          <w:b/>
          <w:bCs/>
          <w:i/>
          <w:iCs/>
        </w:rPr>
        <w:t>E.</w:t>
        <w:tab/>
        <w:t>Provide Avoided Cost Credits for CTA Consolidated Billing</w:t>
        <w:br/>
      </w:r>
      <w:r>
        <w:rPr>
          <w:i/>
          <w:iCs/>
        </w:rPr>
        <w:t>(Promising Option numbered 4 above and Section 7.2.5 of Settlement Agreement)</w:t>
      </w:r>
    </w:p>
    <w:p>
      <w:pPr>
        <w:pStyle w:val="PlainText"/>
        <w:widowControl w:val="false"/>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Settlement Agreement provides for ESPs that perform consolidated billing to receive billing credits on an avoided cost basis.  Currently, ESPs do not receive any billing credits from SoCalGas. The billing credits for SoCalGas proposed in the Settlement Agreement of $0.78 for each residential bill and $1.16 for each non-residential bill are related to utility cost savings in the areas of bill distribution, remittance processing, collections, uncollectible expenses, and billing inquiries.  These values are based on a SoCalGas study of 1997 data. </w:t>
      </w:r>
    </w:p>
    <w:p>
      <w:pPr>
        <w:pStyle w:val="PlainText"/>
        <w:widowControl w:val="false"/>
        <w:spacing w:lineRule="auto" w:line="360" w:before="0" w:after="120"/>
        <w:ind w:firstLine="360" w:start="547" w:end="0"/>
        <w:rPr/>
      </w:pPr>
      <w:r>
        <w:rPr>
          <w:rFonts w:eastAsia="Times New Roman" w:cs="Times New Roman" w:ascii="Times New Roman" w:hAnsi="Times New Roman"/>
          <w:sz w:val="24"/>
          <w:szCs w:val="24"/>
        </w:rPr>
        <w:t>Similarly, the billing credits for SDG&amp;E of $0.05 for each residential bill and $0.16 for each non-residential bill are related to utility cost savings in the area of uncollectible expenses.  SDG&amp;E currently provides avoided cost billing credits of $1.41 for residential customers that receive both gas and electric service from an ESP, and $1.58  [Barker verifying] for nonresidential customers that receive both gas and electric service from an ESP related to utility cost savings in the areas of bill distribution, remittance processing, collections, electric uncollectible expenses, and billing inquiries.  The additional avoided cost billing credit for SDG&amp;E would be for gas transportation uncollectible expenses.</w:t>
      </w:r>
      <w:r>
        <w:rPr>
          <w:rStyle w:val="FootnoteCharacters"/>
          <w:rStyle w:val="FootnoteReference"/>
          <w:rFonts w:eastAsia="Times New Roman" w:cs="Times New Roman" w:ascii="Times New Roman" w:hAnsi="Times New Roman"/>
          <w:sz w:val="24"/>
          <w:szCs w:val="24"/>
        </w:rPr>
        <w:footnoteReference w:id="14"/>
      </w:r>
      <w:r>
        <w:rPr>
          <w:rFonts w:eastAsia="Times New Roman" w:cs="Times New Roman" w:ascii="Times New Roman" w:hAnsi="Times New Roman"/>
          <w:sz w:val="24"/>
          <w:szCs w:val="24"/>
        </w:rPr>
        <w:t xml:space="preserve">   These values are based on a SDG&amp;E study of 1997 data presented in A.97-12-012.</w:t>
      </w:r>
    </w:p>
    <w:p>
      <w:pPr>
        <w:pStyle w:val="PlainText"/>
        <w:widowControl w:val="false"/>
        <w:spacing w:lineRule="auto" w:line="360" w:before="0" w:after="120"/>
        <w:ind w:firstLine="360" w:start="547" w:end="0"/>
        <w:rPr>
          <w:rFonts w:ascii="Times New Roman" w:hAnsi="Times New Roman" w:eastAsia="Times New Roman" w:cs="Times New Roman"/>
          <w:sz w:val="24"/>
          <w:szCs w:val="24"/>
        </w:rPr>
      </w:pPr>
      <w:r>
        <w:rPr>
          <w:rFonts w:eastAsia="Times New Roman" w:cs="Times New Roman" w:ascii="Times New Roman" w:hAnsi="Times New Roman"/>
          <w:sz w:val="24"/>
          <w:szCs w:val="24"/>
        </w:rPr>
        <w:t>This type of billing credit is expressly contemplated and permitted in AB 1421:  “If the Commission establishes credits for services provided by the gas corporation to core aggregation or noncore customers who obtain billing or collection services from entities other than the gas corporation, the credit shall be equal to the billing and collections services costs actually avoided by the gas corporation.”  The billing credits proposed in the Settlement Agreement for SoCalGas and SDG&amp;E fully comply with the requirements of AB 1421.</w:t>
      </w:r>
      <w:r>
        <w:br w:type="page"/>
      </w:r>
    </w:p>
    <w:p>
      <w:pPr>
        <w:pStyle w:val="BodyText"/>
        <w:spacing w:lineRule="auto" w:line="360" w:before="0" w:after="120"/>
        <w:ind w:firstLine="360" w:start="547" w:end="0"/>
        <w:rPr/>
      </w:pPr>
      <w:r>
        <w:rPr/>
        <w:t xml:space="preserve">While the avoided cost credits are based on utility studies and are reasonable for the purposes of this Settlement, the parties recognize that they have differing views with regard to the appropriate methodology for calculating avoided cost credits.  The parties to the Settlement thus agreed that the level of billing credits is assumed for purposes of this settlement only and will not be precedential nor admissible in any subsequent regulatory proceeding for the purpose of determining the avoided cost billing credits for SoCalGas and SDG&amp;E.   </w:t>
      </w:r>
    </w:p>
    <w:p>
      <w:pPr>
        <w:pStyle w:val="BodyText"/>
        <w:spacing w:lineRule="auto" w:line="360" w:before="0" w:after="120"/>
        <w:ind w:firstLine="360" w:start="547" w:end="0"/>
        <w:rPr/>
      </w:pPr>
      <w:r>
        <w:rPr/>
        <w:t>The parties to the Settlement also agreed to explore the methodology underlying the calculation of the avoided cost billing credits and to resolve differences in methodology and update the avoided costs based on more current data by January 1, 2002.  The parties expect to be able to negotiate new avoided cost credits by that date, but if they are unable to come to agreement, SoCalGas and SDG&amp;E will file new gas avoided cost credits in the first quarter of 2002, which will enable the new billing credits to be in place by January 1, 2003.</w:t>
      </w:r>
    </w:p>
    <w:p>
      <w:pPr>
        <w:pStyle w:val="BodyTextContinued"/>
        <w:spacing w:lineRule="auto" w:line="360" w:before="0" w:after="120"/>
        <w:ind w:firstLine="360" w:start="547" w:end="0"/>
        <w:rPr/>
      </w:pPr>
      <w:r>
        <w:rPr/>
        <w:t>SoCalGas and SDG&amp;E anticipate only a small labor impact from implementation of avoided cost credits for ESP consolidated billing.  The principal activities that would be reduced for SoCalGas are the printing, inserting and mailing of customer bills and the associated remittance processing of those bills, which are highly automated processes.  SoCalGas does not anticipate a significant reduction in customer inquiry call volume.  If customers have questions about their bills, it is likely that the call will come to the utility regardless of who is responsible for bill presentation, since SoCalGas is responsible for the meter read.  Likewise, SoCalGas will continue to receive all emergency and other service calls.  The SDG&amp;E gas billing credit reflects only uncollectible expenses and no reduction in services currently provided and so projects no labor impact above what already exists based on the currently provided avoided cost billing credits.</w:t>
      </w:r>
    </w:p>
    <w:p>
      <w:pPr>
        <w:pStyle w:val="BodyTextContinued"/>
        <w:spacing w:lineRule="auto" w:line="360" w:before="0" w:after="120"/>
        <w:ind w:firstLine="360" w:start="547" w:end="0"/>
        <w:rPr/>
      </w:pPr>
      <w:r>
        <w:rPr/>
        <w:t xml:space="preserve">SoCalGas and SDG&amp;E do not anticipate any safety issues associated with the processes of ESP consolidated billing provided that the utilities continue to perform the bill calculation and maintain a consumption history for utility transportation services.  The process of validating consumption does have safety implications, as unusual consumption could be indicative of a gas leak or other hazardous conditions at the meter set assembly.  As long as the utilities continue to retain consumption validation responsibility and bill calculation for transmission and distribution charges as contemplated in this Settlement Agreement, there are no safety concerns with ESP consolidated billing. </w:t>
      </w:r>
    </w:p>
    <w:p>
      <w:pPr>
        <w:pStyle w:val="BodyText"/>
        <w:tabs>
          <w:tab w:val="clear" w:pos="360"/>
          <w:tab w:val="left" w:pos="0" w:leader="none"/>
        </w:tabs>
        <w:spacing w:lineRule="auto" w:line="360" w:before="0" w:after="120"/>
        <w:ind w:firstLine="360" w:start="547" w:end="0"/>
        <w:rPr/>
      </w:pPr>
      <w:r>
        <w:rPr/>
        <w:t xml:space="preserve">The display of billing credits on the bill should be consistent with the methods used in electric restructuring to avoid customer confusion.  SoCalGas and SDG&amp;E will deliver the credits to those customers receiving consolidated billing services from their respective ESPs as a line item on the utility customer specific billing data provided to ESPs (and shown on the ESP consolidated bill to these customers) as soon as the billing system changes can be made.  This bill format change will promote statewide consistency as well as consistency across fuels. </w:t>
      </w:r>
    </w:p>
    <w:p>
      <w:pPr>
        <w:pStyle w:val="Normal"/>
        <w:spacing w:lineRule="auto" w:line="360" w:before="0" w:after="120"/>
        <w:ind w:hanging="360" w:start="907" w:end="0"/>
        <w:rPr>
          <w:b/>
          <w:bCs/>
          <w:i/>
          <w:i/>
          <w:iCs/>
          <w:sz w:val="24"/>
          <w:szCs w:val="24"/>
        </w:rPr>
      </w:pPr>
      <w:r>
        <w:rPr>
          <w:b/>
          <w:bCs/>
          <w:i/>
          <w:iCs/>
          <w:sz w:val="24"/>
          <w:szCs w:val="24"/>
        </w:rPr>
        <w:t>E.</w:t>
        <w:tab/>
        <w:t>Re-Examine Core Procurement</w:t>
        <w:br/>
      </w:r>
      <w:r>
        <w:rPr>
          <w:i/>
          <w:iCs/>
          <w:sz w:val="24"/>
          <w:szCs w:val="24"/>
        </w:rPr>
        <w:t>(Promising Option numbered 5 above and Section 5.1 of Settlement Agreement)</w:t>
      </w:r>
    </w:p>
    <w:p>
      <w:pPr>
        <w:pStyle w:val="BodyText"/>
        <w:spacing w:lineRule="auto" w:line="360" w:before="0" w:after="120"/>
        <w:ind w:firstLine="360" w:start="547" w:end="0"/>
        <w:rPr>
          <w:color w:val="000000"/>
        </w:rPr>
      </w:pPr>
      <w:r>
        <w:rPr>
          <w:color w:val="000000"/>
        </w:rPr>
        <w:t>Parties to the Settlement Agreement concluded that there could be some additional benefits to enabling competition by exploring exploring possible variations to the existing utility core gas procurement practices, including the subject of appropriate incentives.  However, given the time frame, the parties were unable to fully consider new, potentially beneficial arrangements.  Therefore, the parties agreed to use their respective best efforts to negotiate and enter into a separate settlement agreement on the following two issues within three months after Commission approval of this Settlement Agreement:</w:t>
      </w:r>
    </w:p>
    <w:p>
      <w:pPr>
        <w:pStyle w:val="BodyText"/>
        <w:widowControl/>
        <w:numPr>
          <w:ilvl w:val="0"/>
          <w:numId w:val="5"/>
        </w:numPr>
        <w:tabs>
          <w:tab w:val="clear" w:pos="360"/>
          <w:tab w:val="left" w:pos="0" w:leader="none"/>
        </w:tabs>
        <w:spacing w:lineRule="auto" w:line="360" w:before="0" w:after="120"/>
        <w:ind w:hanging="720" w:start="1627" w:end="0"/>
        <w:rPr>
          <w:color w:val="000000"/>
        </w:rPr>
      </w:pPr>
      <w:r>
        <w:rPr>
          <w:color w:val="000000"/>
        </w:rPr>
        <w:t>Consideration of competitive alternatives for providing procurement service to customers who do not choose a competitive provider.  Such alternatives to be considered shall include, but not be limited to, physical separation of the utility gas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gas procurement functions; and</w:t>
      </w:r>
    </w:p>
    <w:p>
      <w:pPr>
        <w:pStyle w:val="BodyText2"/>
        <w:widowControl/>
        <w:numPr>
          <w:ilvl w:val="0"/>
          <w:numId w:val="5"/>
        </w:numPr>
        <w:tabs>
          <w:tab w:val="clear" w:pos="360"/>
          <w:tab w:val="left" w:pos="0" w:leader="none"/>
        </w:tabs>
        <w:spacing w:before="0" w:after="120"/>
        <w:ind w:hanging="720" w:start="1627" w:end="0"/>
        <w:rPr/>
      </w:pPr>
      <w:r>
        <w:rPr>
          <w:rFonts w:eastAsia="Times New Roman" w:cs="Times New Roman" w:ascii="Times New Roman" w:hAnsi="Times New Roman"/>
          <w:color w:val="000000"/>
        </w:rPr>
        <w:t xml:space="preserve">Consideration of performance mechanisms to provide SoCalGas and SDG&amp;E with financial incentives, including, but not limited to, new performance incentive mechanisms based on objective measures of how well the utilities provide service to competitive suppliers </w:t>
      </w:r>
      <w:r>
        <w:rPr>
          <w:rFonts w:eastAsia="Times New Roman" w:cs="Times New Roman" w:ascii="Times New Roman" w:hAnsi="Times New Roman"/>
        </w:rPr>
        <w:t>(ESPs) and their effectiveness in implementing any changes proposed or adopted for gas commodity procurement services.</w:t>
      </w:r>
    </w:p>
    <w:p>
      <w:pPr>
        <w:pStyle w:val="BodyTextIndent3"/>
        <w:widowControl w:val="false"/>
        <w:spacing w:lineRule="auto" w:line="360"/>
        <w:ind w:firstLine="360" w:start="547" w:end="0"/>
        <w:rPr>
          <w:sz w:val="24"/>
          <w:szCs w:val="24"/>
        </w:rPr>
      </w:pPr>
      <w:r>
        <w:rPr>
          <w:sz w:val="24"/>
          <w:szCs w:val="24"/>
        </w:rPr>
        <w:t>The settlement of the foregoing two issues will consider the economic value to core ratepayers and the utilities' shareholders from the current practices used to provide these services; consumer protection; and promotion of competition.  If the parties cannot reach agreement on both issues within such three-month period, SoCalGas and SDG&amp;E will, within six months after Commission approval of this Settlement, file an application with a proposal to address these issues.</w:t>
      </w:r>
    </w:p>
    <w:p>
      <w:pPr>
        <w:pStyle w:val="Heading2"/>
        <w:keepNext w:val="false"/>
        <w:spacing w:lineRule="auto" w:line="360"/>
        <w:ind w:hanging="360" w:start="907" w:end="0"/>
        <w:rPr>
          <w:b/>
          <w:bCs/>
          <w:i/>
          <w:i/>
          <w:iCs/>
          <w:sz w:val="24"/>
          <w:szCs w:val="24"/>
          <w:u w:val="none"/>
        </w:rPr>
      </w:pPr>
      <w:r>
        <w:rPr>
          <w:b/>
          <w:bCs/>
          <w:i/>
          <w:iCs/>
          <w:sz w:val="24"/>
          <w:szCs w:val="24"/>
          <w:u w:val="none"/>
        </w:rPr>
        <w:t>F.</w:t>
        <w:tab/>
        <w:t>Increase the Core Brokerage Fee</w:t>
        <w:br/>
      </w:r>
      <w:r>
        <w:rPr>
          <w:i/>
          <w:iCs/>
          <w:sz w:val="24"/>
          <w:szCs w:val="24"/>
          <w:u w:val="none"/>
        </w:rPr>
        <w:t>(Promising Option numbered 6 above and Section 5.6 of Settlement Agreement)</w:t>
      </w:r>
    </w:p>
    <w:p>
      <w:pPr>
        <w:pStyle w:val="Bullet3"/>
        <w:widowControl w:val="false"/>
        <w:spacing w:lineRule="auto" w:line="360" w:before="0" w:after="120"/>
        <w:ind w:firstLine="360" w:start="547" w:end="0"/>
        <w:rPr/>
      </w:pPr>
      <w:r>
        <w:rPr/>
        <w:t>The current core procurement brokerage fee for SoCalGas is 2.01 cents per decatherm (dth) , while the SDG&amp;E procurement charge is 0.95 cents/dth per the 1996 BCAP decision.</w:t>
      </w:r>
      <w:r>
        <w:rPr>
          <w:rStyle w:val="FootnoteCharacters"/>
          <w:rStyle w:val="FootnoteReference"/>
          <w:sz w:val="24"/>
          <w:szCs w:val="24"/>
        </w:rPr>
        <w:footnoteReference w:id="15"/>
      </w:r>
      <w:r>
        <w:rPr/>
        <w:t xml:space="preserve">  The Settlement Agreement would increase the core brokerage fee to 2.4 cents/dth for both utilities upon the effective date of the Commission’s approval of the Settlement Agreement.  This amount is also consistent with the brokerage fee currently in place for PG&amp;E.  </w:t>
      </w:r>
    </w:p>
    <w:p>
      <w:pPr>
        <w:pStyle w:val="Bullet3"/>
        <w:widowControl w:val="false"/>
        <w:spacing w:lineRule="auto" w:line="360" w:before="0" w:after="120"/>
        <w:ind w:firstLine="360" w:start="547" w:end="0"/>
        <w:rPr/>
      </w:pPr>
      <w:r>
        <w:rPr/>
        <w:t>As with the billing avoided cost credits, the parties disagree on the levels of cost associated with the core procurement function and the methods for calculating the costs that would no longer be incurred if the utility no longer provides full procurement service to a customer.   Therefore, the parties to the Settlement agreed that the core brokerage fee amount of 2.4 cents/dth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substantially altered.</w:t>
      </w:r>
    </w:p>
    <w:p>
      <w:pPr>
        <w:pStyle w:val="Bullet3"/>
        <w:widowControl w:val="false"/>
        <w:spacing w:lineRule="auto" w:line="360" w:before="0" w:after="120"/>
        <w:ind w:firstLine="360" w:start="547" w:end="0"/>
        <w:rPr/>
      </w:pPr>
      <w:r>
        <w:rPr/>
        <w:t>The utility labor force impacts and safety implications should the utility core procurement function be substantially altered would be addressed during the Commission review of the anticipated settlement of the brokerage fee issue, or in review of the filed utility applications regarding alternative utility procurement procedures if a settlement cannot be reached.</w:t>
      </w:r>
    </w:p>
    <w:p>
      <w:pPr>
        <w:pStyle w:val="Normal"/>
        <w:spacing w:lineRule="auto" w:line="360" w:before="0" w:after="120"/>
        <w:ind w:hanging="360" w:start="907" w:end="0"/>
        <w:rPr>
          <w:b/>
          <w:bCs/>
          <w:i/>
          <w:i/>
          <w:iCs/>
          <w:sz w:val="24"/>
          <w:szCs w:val="24"/>
        </w:rPr>
      </w:pPr>
      <w:r>
        <w:rPr>
          <w:b/>
          <w:bCs/>
          <w:i/>
          <w:iCs/>
          <w:sz w:val="24"/>
          <w:szCs w:val="24"/>
        </w:rPr>
        <w:t>G.</w:t>
        <w:tab/>
        <w:t>Elimination of Core Subscription Program</w:t>
        <w:br/>
      </w:r>
      <w:r>
        <w:rPr>
          <w:i/>
          <w:iCs/>
          <w:sz w:val="24"/>
          <w:szCs w:val="24"/>
        </w:rPr>
        <w:t>(Promising Option numbered 7 above and Section 5.5 of Settlement Agreement)</w:t>
      </w:r>
    </w:p>
    <w:p>
      <w:pPr>
        <w:pStyle w:val="Bullet3"/>
        <w:widowControl w:val="false"/>
        <w:spacing w:lineRule="auto" w:line="360" w:before="0" w:after="120"/>
        <w:ind w:firstLine="360" w:start="547" w:end="0"/>
        <w:rPr/>
      </w:pPr>
      <w:r>
        <w:rPr/>
        <w:t>SoCalGas currently offers core subscription service to its noncore customers under contracts with a two-year term.  Noncore customers receive core gas procurement services (excluding storage services) under this program.  SoCalGas agrees that for simplicity the core subscription program should be eliminated.  With the newly adopted core transportation rates from SoCalGas’ 1999 BCAP decision, for SoCalGas’ large core commercial and industrial customers, there is no longer a substantial penalty in paying core transportation rates.</w:t>
      </w:r>
    </w:p>
    <w:p>
      <w:pPr>
        <w:pStyle w:val="Bullet3"/>
        <w:widowControl w:val="false"/>
        <w:spacing w:lineRule="auto" w:line="360" w:before="0" w:after="120"/>
        <w:ind w:firstLine="360" w:start="547" w:end="0"/>
        <w:rPr/>
      </w:pPr>
      <w:r>
        <w:rPr/>
        <w:t>There are currently xx noncore customers who participate in the core subscription program on the SoCalGas system.  These customers represent less than xx percent of total noncore volumes.  About xx percent of the core subscription customers are currently on two year contracts that expire July 31, 2001.  [Barker to provide]</w:t>
      </w:r>
    </w:p>
    <w:p>
      <w:pPr>
        <w:pStyle w:val="Bullet3"/>
        <w:widowControl w:val="false"/>
        <w:spacing w:lineRule="auto" w:line="360" w:before="0" w:after="120"/>
        <w:ind w:firstLine="360" w:start="547" w:end="0"/>
        <w:rPr/>
      </w:pPr>
      <w:r>
        <w:rPr/>
        <w:t xml:space="preserve">Under the Settlement, SoCalGas will cease offering new core subscription contracts by April 1, 2001.  Beginning on the effective date of a Commission order approving the Settlement, SoCalGas will offer new core subscription contracts for a term that extends no later than July 31, 2001, the date at which the majority of existing contracts expire.  All core subscription contracts in effect on April 1, 2001 will remain in effect until the end of the contract life.  After April 1, 2001, all noncore-eligible customers must either choose a competitive provider for gas commodity or take service from SoCalGas at core rates.  </w:t>
      </w:r>
    </w:p>
    <w:p>
      <w:pPr>
        <w:pStyle w:val="Bullet3"/>
        <w:widowControl w:val="false"/>
        <w:spacing w:lineRule="auto" w:line="360" w:before="0" w:after="120"/>
        <w:ind w:firstLine="360" w:start="547" w:end="0"/>
        <w:rPr/>
      </w:pPr>
      <w:r>
        <w:rPr/>
        <w:t xml:space="preserve">SoCalGas will provide customers with adequate advance notice of their choices and will provide these customers with a list of interested gas marketers operating on its system, so that customers can contact these marketers about their commodity choices.   In the event that customers do not make a choice by the deadline, they will automatically become core customers.  </w:t>
      </w:r>
    </w:p>
    <w:p>
      <w:pPr>
        <w:pStyle w:val="Bullet3"/>
        <w:widowControl w:val="false"/>
        <w:spacing w:lineRule="auto" w:line="360" w:before="0" w:after="120"/>
        <w:ind w:firstLine="360" w:start="547" w:end="0"/>
        <w:rPr/>
      </w:pPr>
      <w:r>
        <w:rPr/>
        <w:t xml:space="preserve">SoCalGas will continue to treat transportation revenues from customers switching to core status as noncore revenues (i.e., the revenues will be recorded in the Noncore Fixed Cost Account and not the Core Fixed Cost Account), until the switch from noncore to core can be reflected in the throughput forecast in SoCalGas’ next BCAP.  This treatment is necessary given the different regulatory balancing accounts applicable to revenues for core and noncore volumes on the SoCalGas system.  </w:t>
      </w:r>
    </w:p>
    <w:p>
      <w:pPr>
        <w:pStyle w:val="BodyText"/>
        <w:tabs>
          <w:tab w:val="clear" w:pos="360"/>
          <w:tab w:val="left" w:pos="720" w:leader="none"/>
          <w:tab w:val="left" w:pos="1080" w:leader="none"/>
        </w:tabs>
        <w:spacing w:lineRule="auto" w:line="360" w:before="0" w:after="120"/>
        <w:ind w:firstLine="360" w:start="547" w:end="0"/>
        <w:rPr/>
      </w:pPr>
      <w:r>
        <w:rPr/>
        <w:t>The Core Subscription and noncore procurement options will also be eliminated for SDG&amp;E customers under the same terms described above for SoCalGas.  There are currently 19 noncore customers receiving core subscription service and 115 noncore customers receiving procurement service directly from SDG&amp;E.  These customers represent 22 percent of total noncore volumes on the SDG&amp;E system.</w:t>
      </w:r>
    </w:p>
    <w:p>
      <w:pPr>
        <w:pStyle w:val="BodyText"/>
        <w:tabs>
          <w:tab w:val="clear" w:pos="360"/>
          <w:tab w:val="left" w:pos="720" w:leader="none"/>
          <w:tab w:val="left" w:pos="1080" w:leader="none"/>
        </w:tabs>
        <w:spacing w:lineRule="auto" w:line="360" w:before="0" w:after="120"/>
        <w:ind w:firstLine="360" w:start="547" w:end="0"/>
        <w:rPr/>
      </w:pPr>
      <w:r>
        <w:rPr/>
        <w:t xml:space="preserve">For SDG&amp;E to exit noncore procurement is consistent with the current status of both SoCalGas and PG&amp;E, and so will bring about statewide consistency.  By April 1, 2001 or at the end of existing contracts, whichever occurs later, all noncore customers in the SDG&amp;E service area will choose a competitive provider for their commodity.  SDG&amp;E will provide such customers with advance notice of the change and will also provide those customers with a list of interested gas marketers, so they can contact these marketers about their choices.  </w:t>
      </w:r>
    </w:p>
    <w:p>
      <w:pPr>
        <w:pStyle w:val="BodyText"/>
        <w:tabs>
          <w:tab w:val="clear" w:pos="360"/>
          <w:tab w:val="left" w:pos="720" w:leader="none"/>
          <w:tab w:val="left" w:pos="1080" w:leader="none"/>
        </w:tabs>
        <w:spacing w:lineRule="auto" w:line="360" w:before="0" w:after="120"/>
        <w:ind w:firstLine="360" w:start="547" w:end="0"/>
        <w:rPr/>
      </w:pPr>
      <w:r>
        <w:rPr/>
        <w:t xml:space="preserve">In the event that noncore customers do not make a choice by the deadline, such customers will automatically become core customers.  If they become core customers, they will take service from SDG&amp;E at core rates, for both core transportation and procurement.  </w:t>
      </w:r>
    </w:p>
    <w:p>
      <w:pPr>
        <w:pStyle w:val="Bullet3"/>
        <w:widowControl w:val="false"/>
        <w:spacing w:lineRule="auto" w:line="360" w:before="0" w:after="120"/>
        <w:ind w:firstLine="360" w:start="547" w:end="0"/>
        <w:rPr/>
      </w:pPr>
      <w:r>
        <w:rPr/>
        <w:t xml:space="preserve">There are no labor or safety issues associated with the elimination of utility procurement for noncore customers. </w:t>
      </w:r>
      <w:r>
        <w:br w:type="page"/>
      </w:r>
    </w:p>
    <w:p>
      <w:pPr>
        <w:pStyle w:val="BodyText"/>
        <w:spacing w:lineRule="auto" w:line="360" w:before="0" w:after="120"/>
        <w:ind w:hanging="360" w:start="907" w:end="0"/>
        <w:rPr>
          <w:b/>
          <w:bCs/>
          <w:i/>
          <w:i/>
          <w:iCs/>
        </w:rPr>
      </w:pPr>
      <w:r>
        <w:rPr>
          <w:b/>
          <w:bCs/>
          <w:i/>
          <w:iCs/>
        </w:rPr>
        <w:t>H.</w:t>
        <w:tab/>
        <w:t>Reduce CTA Volume Threshold</w:t>
        <w:br/>
      </w:r>
      <w:r>
        <w:rPr>
          <w:i/>
          <w:iCs/>
        </w:rPr>
        <w:t>(Promising Option numbered 8 above and Section 5.2 of Settlement Agreement)</w:t>
      </w:r>
    </w:p>
    <w:p>
      <w:pPr>
        <w:pStyle w:val="BodyTextContinued"/>
        <w:spacing w:lineRule="auto" w:line="360" w:before="0" w:after="120"/>
        <w:ind w:firstLine="360" w:start="547" w:end="0"/>
        <w:rPr/>
      </w:pPr>
      <w:r>
        <w:rPr/>
        <w:t>Currently, there is a 250,000 therm/year minimum threshold size for those entities seeking to qualify as, or remain, a CTA program marketer on the utility systems.   It is proposed as part of the Settlement Agreement that the CTA program minimum size requirement be reduced from 250,000 to 120,000 therms per year in order to provide statewide consistency.  This size requirement would become effective upon Commission approval of the Settlement Agreement.</w:t>
      </w:r>
      <w:r>
        <w:rPr>
          <w:rStyle w:val="FootnoteCharacters"/>
          <w:rStyle w:val="FootnoteReference"/>
          <w:sz w:val="24"/>
          <w:szCs w:val="24"/>
        </w:rPr>
        <w:footnoteReference w:id="16"/>
      </w:r>
    </w:p>
    <w:p>
      <w:pPr>
        <w:pStyle w:val="BodyText"/>
        <w:spacing w:lineRule="auto" w:line="360" w:before="0" w:after="120"/>
        <w:ind w:firstLine="360" w:start="547" w:end="0"/>
        <w:rPr/>
      </w:pPr>
      <w:r>
        <w:rPr/>
        <w:t xml:space="preserve">This minor adjustment to reduce barriers to entry of ESPs and other gas suppliers into the CTA program will have no impact with automation of customer choice.  There are no safety or labor issues associated with the size threshold.   </w:t>
      </w:r>
    </w:p>
    <w:p>
      <w:pPr>
        <w:pStyle w:val="BodyText"/>
        <w:spacing w:lineRule="auto" w:line="360" w:before="0" w:after="120"/>
        <w:ind w:hanging="360" w:start="907" w:end="0"/>
        <w:rPr>
          <w:b/>
          <w:bCs/>
          <w:i/>
          <w:i/>
          <w:iCs/>
        </w:rPr>
      </w:pPr>
      <w:r>
        <w:rPr>
          <w:b/>
          <w:bCs/>
          <w:i/>
          <w:iCs/>
        </w:rPr>
        <w:t>I.</w:t>
        <w:tab/>
        <w:t>Pilot Meter and Meter Add-on Ownership Program</w:t>
        <w:br/>
      </w:r>
      <w:r>
        <w:rPr>
          <w:i/>
          <w:iCs/>
        </w:rPr>
        <w:t>(Promising Option numbered 9 above and Section 7.1 of Settlement Agreement)</w:t>
      </w:r>
    </w:p>
    <w:p>
      <w:pPr>
        <w:pStyle w:val="BodyText2"/>
        <w:tabs>
          <w:tab w:val="clear" w:pos="360"/>
          <w:tab w:val="left" w:pos="720" w:leader="none"/>
        </w:tabs>
        <w:spacing w:before="0" w:after="120"/>
        <w:ind w:firstLine="360" w:start="547" w:end="0"/>
        <w:rPr>
          <w:rFonts w:ascii="Times New Roman" w:hAnsi="Times New Roman" w:eastAsia="Times New Roman" w:cs="Times New Roman"/>
        </w:rPr>
      </w:pPr>
      <w:r>
        <w:rPr>
          <w:rFonts w:eastAsia="Times New Roman" w:cs="Times New Roman" w:ascii="Times New Roman" w:hAnsi="Times New Roman"/>
        </w:rPr>
        <w:t xml:space="preserve">The meter ownership/meter device add-on pilot program is a test of the benefits of customer meter ownership in the restructured gas industry. The meter/add-on ownership pilot program will allow customers to choose to own their own meters or to add devices to existing meters that electronically provide consumption information to the customer or supplier.  Under the Settlement, the pilot meter ownership program for SoCalGas will be limited to 500 meters per year for new installations serving large core commercial and industrial customers, and to 1,500 add-on meter devices per year for all customer classes.  The pilot meter ownership program for SDG&amp;E will be limited to 200 meters for new installations for large commercial and industrial customers and to 200 add-on devices for all customer classes.  This level of activity will be small enough for the utility to avoid large costs related to changing computer systems that track information on meters and add-on devices for business purposes and safety reasons, but large enough to provide relevant information on the benefits of meter or add-on device ownership in the restructured gas industry environment. </w:t>
      </w:r>
    </w:p>
    <w:p>
      <w:pPr>
        <w:pStyle w:val="BodyText2"/>
        <w:tabs>
          <w:tab w:val="clear" w:pos="360"/>
          <w:tab w:val="left" w:pos="720" w:leader="none"/>
        </w:tabs>
        <w:spacing w:before="0" w:after="120"/>
        <w:ind w:firstLine="360" w:start="547" w:end="0"/>
        <w:rPr>
          <w:rFonts w:ascii="Times New Roman" w:hAnsi="Times New Roman" w:eastAsia="Times New Roman" w:cs="Times New Roman"/>
        </w:rPr>
      </w:pPr>
      <w:r>
        <w:rPr>
          <w:rFonts w:eastAsia="Times New Roman" w:cs="Times New Roman" w:ascii="Times New Roman" w:hAnsi="Times New Roman"/>
        </w:rPr>
        <w:t xml:space="preserve">SoCalGas and SDG&amp;E will conduct the pilot meter and add-on device ownership programs through 2002.  By July 1, 2002, SoCalGas and SDG&amp;E will submit a joint evaluation of the pilot programs and recommendations for 2003 and beyond.  </w:t>
      </w:r>
    </w:p>
    <w:p>
      <w:pPr>
        <w:pStyle w:val="Bullet3"/>
        <w:widowControl w:val="false"/>
        <w:spacing w:lineRule="auto" w:line="360" w:before="0" w:after="120"/>
        <w:ind w:firstLine="360" w:start="547" w:end="0"/>
        <w:rPr/>
      </w:pPr>
      <w:r>
        <w:rPr/>
        <w:t>To ensure no impacts on safety or utility billing processes, the following principles will guide implementation:</w:t>
      </w:r>
    </w:p>
    <w:p>
      <w:pPr>
        <w:pStyle w:val="Bullet4"/>
        <w:numPr>
          <w:ilvl w:val="0"/>
          <w:numId w:val="6"/>
        </w:numPr>
        <w:tabs>
          <w:tab w:val="clear" w:pos="360"/>
          <w:tab w:val="left" w:pos="0" w:leader="none"/>
        </w:tabs>
        <w:spacing w:lineRule="auto" w:line="360" w:before="0" w:after="120"/>
        <w:ind w:hanging="720" w:start="1627" w:end="0"/>
        <w:rPr/>
      </w:pPr>
      <w:r>
        <w:rPr/>
        <w:t xml:space="preserve">The utilities will continue to install, read, remove, service, and maintain all gas meters during the pilot program, regardless of ownership.  </w:t>
      </w:r>
    </w:p>
    <w:p>
      <w:pPr>
        <w:pStyle w:val="Bullet4"/>
        <w:numPr>
          <w:ilvl w:val="0"/>
          <w:numId w:val="6"/>
        </w:numPr>
        <w:tabs>
          <w:tab w:val="clear" w:pos="360"/>
          <w:tab w:val="left" w:pos="0" w:leader="none"/>
        </w:tabs>
        <w:spacing w:lineRule="auto" w:line="360" w:before="0" w:after="120"/>
        <w:ind w:hanging="720" w:start="1627" w:end="0"/>
        <w:rPr/>
      </w:pPr>
      <w:r>
        <w:rPr/>
        <w:t xml:space="preserve">All customer-owned meters and add-on devices will meet appropriate standards of safety, accuracy and reliability, as determined by the utilities.  </w:t>
      </w:r>
    </w:p>
    <w:p>
      <w:pPr>
        <w:pStyle w:val="Bullet4"/>
        <w:numPr>
          <w:ilvl w:val="0"/>
          <w:numId w:val="6"/>
        </w:numPr>
        <w:tabs>
          <w:tab w:val="clear" w:pos="360"/>
          <w:tab w:val="left" w:pos="0" w:leader="none"/>
        </w:tabs>
        <w:spacing w:lineRule="auto" w:line="360" w:before="0" w:after="120"/>
        <w:ind w:hanging="720" w:start="1627" w:end="0"/>
        <w:rPr/>
      </w:pPr>
      <w:r>
        <w:rPr/>
        <w:t xml:space="preserve">Customer ownership of any meter or add-on device will not interfere with the utility's ability to obtain data from the meter.  </w:t>
      </w:r>
    </w:p>
    <w:p>
      <w:pPr>
        <w:pStyle w:val="Bullet4"/>
        <w:numPr>
          <w:ilvl w:val="0"/>
          <w:numId w:val="6"/>
        </w:numPr>
        <w:tabs>
          <w:tab w:val="clear" w:pos="360"/>
          <w:tab w:val="left" w:pos="0" w:leader="none"/>
        </w:tabs>
        <w:spacing w:lineRule="auto" w:line="360" w:before="0" w:after="120"/>
        <w:ind w:hanging="360" w:start="1627" w:end="0"/>
        <w:rPr/>
      </w:pPr>
      <w:r>
        <w:rPr/>
        <w:t>Those customers that choose to own their own meters or add-on devices  are responsible for the additional incremental capital and O&amp;M costs associated with such equipment including communication network costs.</w:t>
      </w:r>
    </w:p>
    <w:p>
      <w:pPr>
        <w:pStyle w:val="Header"/>
        <w:widowControl w:val="false"/>
        <w:tabs>
          <w:tab w:val="clear" w:pos="4320"/>
          <w:tab w:val="clear" w:pos="8640"/>
        </w:tabs>
        <w:spacing w:lineRule="auto" w:line="360" w:before="0" w:after="120"/>
        <w:ind w:firstLine="360" w:start="547" w:end="0"/>
        <w:rPr>
          <w:sz w:val="24"/>
          <w:szCs w:val="24"/>
        </w:rPr>
      </w:pPr>
      <w:r>
        <w:rPr>
          <w:sz w:val="24"/>
          <w:szCs w:val="24"/>
        </w:rPr>
        <w:t xml:space="preserve">The costs incurred by SoCalGas in offering the meter ownership and meter add-on pilot programs include the development of PC-based systems to track ownership and maintenance of third- party owned meters and add-on devices at a cost of $150,000 for both hardware and software for SoCalGas.  This minimal investment will save the millions of dollars that would otherwise be required by SoCalGas to modify its existing meter tracking systems if the pilot programs were not limited in size. The costs incurred by SDG&amp;E in offering the meter ownership and meter add-on pilot programs include the development of the programming capability necessary to transfer CTA information to the meter tracking system and returning relevant data from the meter tracking system.  The costs associated with these programming changes for the customer-owned meters and add-on devices program are estimated at $225,000. </w:t>
      </w:r>
      <w:r>
        <w:br w:type="page"/>
      </w:r>
    </w:p>
    <w:p>
      <w:pPr>
        <w:pStyle w:val="Header"/>
        <w:widowControl w:val="false"/>
        <w:tabs>
          <w:tab w:val="clear" w:pos="4320"/>
          <w:tab w:val="clear" w:pos="8640"/>
        </w:tabs>
        <w:spacing w:lineRule="auto" w:line="360" w:before="0" w:after="120"/>
        <w:ind w:firstLine="360" w:start="547" w:end="0"/>
        <w:rPr>
          <w:sz w:val="24"/>
          <w:szCs w:val="24"/>
        </w:rPr>
      </w:pPr>
      <w:r>
        <w:rPr>
          <w:sz w:val="24"/>
          <w:szCs w:val="24"/>
        </w:rPr>
        <w:t xml:space="preserve">For SoCalGas, the one-time O&amp;M costs of $270,000 include the development of materials and training of Meter Shop and field employees on how to handle third-party owned meters and add-on devices.  On-going O&amp;M is in the range of $30,000 and relates to computer system maintenance costs.  Installation and maintenance costs of the devices themselves will be charged to customers electing these services.  </w:t>
      </w:r>
    </w:p>
    <w:p>
      <w:pPr>
        <w:pStyle w:val="Header"/>
        <w:tabs>
          <w:tab w:val="clear" w:pos="4320"/>
          <w:tab w:val="clear" w:pos="8640"/>
          <w:tab w:val="left" w:pos="540" w:leader="none"/>
        </w:tabs>
        <w:spacing w:lineRule="auto" w:line="360" w:before="0" w:after="120"/>
        <w:rPr>
          <w:b/>
          <w:bCs/>
          <w:sz w:val="24"/>
          <w:szCs w:val="24"/>
        </w:rPr>
      </w:pPr>
      <w:r>
        <w:rPr>
          <w:b/>
          <w:bCs/>
          <w:sz w:val="24"/>
          <w:szCs w:val="24"/>
        </w:rPr>
        <w:t>V.</w:t>
        <w:tab/>
        <w:t>Other Topics</w:t>
      </w:r>
    </w:p>
    <w:p>
      <w:pPr>
        <w:pStyle w:val="Header"/>
        <w:widowControl w:val="false"/>
        <w:tabs>
          <w:tab w:val="clear" w:pos="4320"/>
          <w:tab w:val="clear" w:pos="8640"/>
        </w:tabs>
        <w:spacing w:lineRule="auto" w:line="360" w:before="0" w:after="120"/>
        <w:ind w:hanging="360" w:start="907" w:end="0"/>
        <w:rPr>
          <w:b/>
          <w:bCs/>
          <w:i/>
          <w:i/>
          <w:iCs/>
          <w:sz w:val="24"/>
          <w:szCs w:val="24"/>
        </w:rPr>
      </w:pPr>
      <w:r>
        <w:rPr>
          <w:b/>
          <w:bCs/>
          <w:i/>
          <w:iCs/>
          <w:sz w:val="24"/>
          <w:szCs w:val="24"/>
        </w:rPr>
        <w:t>A.</w:t>
        <w:tab/>
        <w:t>Utilities Will Not Request Interim Rate Relief for Capital Expenditures or O&amp;M Expenses to Implement the Retail Portion of the Settlement     (Section 1.6)</w:t>
      </w:r>
    </w:p>
    <w:p>
      <w:pPr>
        <w:pStyle w:val="Normal"/>
        <w:spacing w:lineRule="auto" w:line="360" w:before="0" w:after="120"/>
        <w:ind w:firstLine="360" w:start="547" w:end="0"/>
        <w:rPr/>
      </w:pPr>
      <w:r>
        <w:rPr>
          <w:sz w:val="24"/>
          <w:szCs w:val="24"/>
        </w:rPr>
        <w:t>Under the settlement agreement, SoCalGas will not request interim rate relief for any incremental capital spending to implement automated direct access service requests/customer account management systems, utility consolidated billing, and the meter ownership/add-on pilot program until the effective date of a Commission decision re-establishing SoCalGas’ authorized margin after the expiration of the PBR period adopted for SoCalGas in D.97-07-054.</w:t>
      </w:r>
      <w:r>
        <w:rPr>
          <w:rStyle w:val="FootnoteCharacters"/>
          <w:rStyle w:val="FootnoteReference"/>
          <w:sz w:val="24"/>
          <w:szCs w:val="24"/>
        </w:rPr>
        <w:footnoteReference w:id="17"/>
      </w:r>
      <w:r>
        <w:rPr>
          <w:sz w:val="24"/>
          <w:szCs w:val="24"/>
        </w:rPr>
        <w:t xml:space="preserve">  As provided for in the Settlement Agreement, all such capital costs anticipated and described in this testimony are deemed by the parties to be reasonable.  </w:t>
      </w:r>
    </w:p>
    <w:p>
      <w:pPr>
        <w:pStyle w:val="Normal"/>
        <w:spacing w:lineRule="auto" w:line="360" w:before="0" w:after="120"/>
        <w:ind w:firstLine="360" w:start="547" w:end="0"/>
        <w:rPr>
          <w:color w:val="000000"/>
          <w:sz w:val="24"/>
          <w:szCs w:val="24"/>
        </w:rPr>
      </w:pPr>
      <w:r>
        <w:rPr>
          <w:sz w:val="24"/>
          <w:szCs w:val="24"/>
        </w:rPr>
        <w:t>SDG&amp;E will not request interim rate relief for any incremental capital spending to implement automated direct access service requests /customer account management systems, utility consolidated billing, and the meter ownership/add-on pilot program until the effective date of a Commission decision re-establishing its authorized margin after the expiration of the PBR period adopted in D.99-05-031.</w:t>
      </w:r>
      <w:r>
        <w:rPr>
          <w:rStyle w:val="FootnoteCharacters"/>
          <w:rStyle w:val="FootnoteReference"/>
          <w:sz w:val="24"/>
          <w:szCs w:val="24"/>
        </w:rPr>
        <w:footnoteReference w:id="18"/>
      </w:r>
      <w:r>
        <w:rPr>
          <w:sz w:val="24"/>
          <w:szCs w:val="24"/>
        </w:rPr>
        <w:t xml:space="preserve">  As provided for in the Settlement Agreement, all such capital costs anticipated and described in this testimony are deemed reasonable.</w:t>
      </w:r>
      <w:r>
        <w:br w:type="page"/>
      </w:r>
    </w:p>
    <w:p>
      <w:pPr>
        <w:pStyle w:val="Bullet2"/>
        <w:widowControl w:val="false"/>
        <w:spacing w:lineRule="auto" w:line="360" w:before="0" w:after="120"/>
        <w:ind w:firstLine="360" w:start="547" w:end="0"/>
        <w:rPr/>
      </w:pPr>
      <w:r>
        <w:rPr/>
        <w:t xml:space="preserve">Between now and implementation of new revenue requirements adopted in their next PBR proceedings, SoCalGas and SDG&amp;E will not increase rates to customers to recover one-time and recurring O&amp;M expenses incurred implementing the retail portion of the Settlement Agreement.  This includes costs related to automated direct access service requests (DASR)/customer account management systems, utility consolidated billing, and the meter ownership/add-on pilot program.  However, since SoCalGas and SDG&amp;E have agreed to pass on incremental cost savings to ESPs in the form of billing credits, it is reasonable that whatever revenues may be generated by fees to be paid by retailers be used to offset some of the utilities' incremental O&amp;M costs.  </w:t>
      </w:r>
    </w:p>
    <w:p>
      <w:pPr>
        <w:pStyle w:val="Bullet2"/>
        <w:widowControl w:val="false"/>
        <w:spacing w:lineRule="auto" w:line="360" w:before="0" w:after="120"/>
        <w:ind w:firstLine="360" w:start="547" w:end="0"/>
        <w:rPr/>
      </w:pPr>
      <w:r>
        <w:rPr/>
        <w:t xml:space="preserve">SoCalGas’ O&amp;M costs and fees will be reviewed as part of a Commission proceeding re-establishing its authorized margin after the expiration of the PBR period adopted for SoCalGas in D.97-07-054.  Likewise, SDG&amp;E’s O&amp;M costs and fees will be reviewed as part of a Commission proceeding re-establishing its authorized margin after the expiration of the PBR period adopted for SDG&amp;E in D.99-05-031.    </w:t>
      </w:r>
    </w:p>
    <w:p>
      <w:pPr>
        <w:pStyle w:val="Bullet2"/>
        <w:widowControl w:val="false"/>
        <w:spacing w:lineRule="auto" w:line="360" w:before="0" w:after="120"/>
        <w:ind w:firstLine="360" w:start="547" w:end="0"/>
        <w:rPr/>
      </w:pPr>
      <w:r>
        <w:rPr/>
        <w:t>The types of fees and the fee amounts to be proposed by the utilities will be the subject of future discussions.  The fee proposal is designed to be consistent with the types of fees existing or proposed in the electric industry in order to promote general consistency across gas and electricity.  The added fees would reflect the ongoing incremental costs of those services just as the billing avoided cost credits reflect the ongoing costs avoided by the utilities in not providing the service.</w:t>
      </w:r>
    </w:p>
    <w:p>
      <w:pPr>
        <w:pStyle w:val="Bullet2"/>
        <w:widowControl w:val="false"/>
        <w:spacing w:lineRule="auto" w:line="360" w:before="0" w:after="120"/>
        <w:ind w:hanging="360" w:start="907" w:end="0"/>
        <w:rPr>
          <w:b/>
          <w:bCs/>
          <w:i/>
          <w:i/>
          <w:iCs/>
        </w:rPr>
      </w:pPr>
      <w:r>
        <w:rPr>
          <w:b/>
          <w:bCs/>
          <w:i/>
          <w:iCs/>
        </w:rPr>
        <w:t>B.</w:t>
        <w:tab/>
        <w:t>Provisions in the Capacity Portion of the Settlement are Necessary to the Success of the Retail Portion of the Settlement by Providing Benefits to Core Customers</w:t>
      </w:r>
    </w:p>
    <w:p>
      <w:pPr>
        <w:pStyle w:val="Bullet2"/>
        <w:widowControl w:val="false"/>
        <w:spacing w:lineRule="auto" w:line="360" w:before="0" w:after="120"/>
        <w:ind w:firstLine="360" w:start="547" w:end="0"/>
        <w:rPr/>
      </w:pPr>
      <w:r>
        <w:rPr/>
        <w:t>In other regions in which the benefits of competition have reached the residential and small business customer, such success has been associated with customers being able to achieve savings by purchasing gas from a non-utility supplier.   Surveys have shown that price is the number one reason customers will switch gas suppliers.</w:t>
      </w:r>
      <w:r>
        <w:rPr>
          <w:rStyle w:val="FootnoteCharacters"/>
          <w:rStyle w:val="FootnoteReference"/>
          <w:sz w:val="24"/>
          <w:szCs w:val="24"/>
        </w:rPr>
        <w:footnoteReference w:id="19"/>
      </w:r>
      <w:r>
        <w:rPr/>
        <w:t xml:space="preserve"> Indeed, in Ohio and Georgia, states with a significant portion of customers choosing non-utility suppliers, customers were able to achieve savings of 6 to 12 percent by switching service to non-utility gas suppliers.</w:t>
      </w:r>
      <w:r>
        <w:rPr>
          <w:rStyle w:val="FootnoteCharacters"/>
          <w:rStyle w:val="FootnoteReference"/>
          <w:sz w:val="24"/>
          <w:szCs w:val="24"/>
        </w:rPr>
        <w:footnoteReference w:id="20"/>
      </w:r>
      <w:r>
        <w:rPr/>
        <w:t xml:space="preserve">  </w:t>
      </w:r>
    </w:p>
    <w:p>
      <w:pPr>
        <w:pStyle w:val="Bullet2"/>
        <w:widowControl w:val="false"/>
        <w:spacing w:lineRule="auto" w:line="360" w:before="0" w:after="120"/>
        <w:ind w:firstLine="360" w:start="547" w:end="0"/>
        <w:rPr/>
      </w:pPr>
      <w:r>
        <w:rPr/>
        <w:t>The Settlement Agreement boosts competition in the Southern California gas market in a number of ways.  A primary example of this occurs through the unbundling of interstate transmission capacity and allowing ESPs to purchase capacity at market prices.  This creates new opportunities for ESPs to not only obtain capacity at market value (significantly below the as-billed rate under FERC tariffs applicable to utility procurement customers), but also to match upstream transportation supply and transportation arrangements in new and creative ways for the benefit of the customers they serve.</w:t>
      </w:r>
      <w:r>
        <w:rPr>
          <w:rStyle w:val="FootnoteCharacters"/>
          <w:rStyle w:val="FootnoteReference"/>
          <w:sz w:val="24"/>
          <w:szCs w:val="24"/>
        </w:rPr>
        <w:footnoteReference w:id="21"/>
      </w:r>
      <w:r>
        <w:rPr/>
        <w:t xml:space="preserve">  In addition, ESPs can offer price discounts to certain core customers by buying less storage in cases where the customer does not have seasonal swings in usage, or by buying storage from alternate suppliers at a discount.  And, as before, savings can also be achieved if the ESP can provide the commodity gas at a discount to the utility price for core procurement.  Finally, the billing credits will provide a lower price for customers of ESPs.</w:t>
      </w:r>
    </w:p>
    <w:p>
      <w:pPr>
        <w:pStyle w:val="Bullet2"/>
        <w:widowControl w:val="false"/>
        <w:spacing w:lineRule="auto" w:line="360" w:before="0" w:after="120"/>
        <w:ind w:firstLine="360" w:start="547" w:end="0"/>
        <w:rPr/>
      </w:pPr>
      <w:r>
        <w:rPr/>
        <w:t>Based on the experience in Ohio and Georgia, price advantages created by the capacity portion of the Settlement Agreement, when combined with the proposed retail reforms, will lead to significant growth of gas suppliers and a significant amount of customer switching.  In Ohio, for example, there are 23 ESPs serving individual residential gas customers compared to one in southern California.</w:t>
      </w:r>
      <w:r>
        <w:rPr>
          <w:rStyle w:val="FootnoteCharacters"/>
          <w:rStyle w:val="FootnoteReference"/>
          <w:sz w:val="24"/>
          <w:szCs w:val="24"/>
        </w:rPr>
        <w:footnoteReference w:id="22"/>
      </w:r>
      <w:r>
        <w:rPr/>
        <w:t xml:space="preserve">  Customers choosing ESPs increased in one year to almost 10 percent of residential customers for Cincinnati Gas and Electric, and over 30 percent for Columbia Gas of Ohio.</w:t>
      </w:r>
      <w:r>
        <w:rPr>
          <w:rStyle w:val="FootnoteCharacters"/>
          <w:rStyle w:val="FootnoteReference"/>
          <w:sz w:val="24"/>
          <w:szCs w:val="24"/>
        </w:rPr>
        <w:footnoteReference w:id="23"/>
      </w:r>
      <w:r>
        <w:rPr/>
        <w:t xml:space="preserve">  In Georgia, there are 16 approved ESPs serving residential and small commercial customers and over 30 percent of small customers switched procurement service to ESPs within 6 months.</w:t>
      </w:r>
      <w:r>
        <w:rPr>
          <w:rStyle w:val="FootnoteCharacters"/>
          <w:rStyle w:val="FootnoteReference"/>
          <w:sz w:val="24"/>
          <w:szCs w:val="24"/>
        </w:rPr>
        <w:footnoteReference w:id="24"/>
      </w:r>
      <w:r>
        <w:rPr/>
        <w:t xml:space="preserve"> </w:t>
      </w:r>
      <w:r>
        <w:br w:type="page"/>
      </w:r>
    </w:p>
    <w:p>
      <w:pPr>
        <w:pStyle w:val="Bullet2"/>
        <w:widowControl w:val="false"/>
        <w:spacing w:lineRule="auto" w:line="360" w:before="0" w:after="120"/>
        <w:ind w:hanging="360" w:start="907" w:end="0"/>
        <w:rPr>
          <w:b/>
          <w:bCs/>
          <w:i/>
          <w:i/>
          <w:iCs/>
        </w:rPr>
      </w:pPr>
      <w:r>
        <w:rPr>
          <w:b/>
          <w:bCs/>
          <w:i/>
          <w:iCs/>
        </w:rPr>
        <w:t>C.</w:t>
        <w:tab/>
        <w:t>Impact of Retail Settlement on Public Purpose programs</w:t>
      </w:r>
    </w:p>
    <w:p>
      <w:pPr>
        <w:pStyle w:val="Bullet2"/>
        <w:widowControl w:val="false"/>
        <w:spacing w:lineRule="auto" w:line="360" w:before="0" w:after="120"/>
        <w:ind w:firstLine="360" w:start="547" w:end="0"/>
        <w:rPr/>
      </w:pPr>
      <w:r>
        <w:rPr/>
        <w:t>The retail portion of the Settlement Agreement makes no changes to the Commission’s current policies on public purpose programs (CARE, DAP, and DSM programs) for the gas industry.  The public purpose program benefits are unchanged and the surcharges to finance these programs are not impacted by the retail portion of the Settlement Agreement.</w:t>
      </w:r>
    </w:p>
    <w:p>
      <w:pPr>
        <w:pStyle w:val="Bullet2"/>
        <w:widowControl w:val="false"/>
        <w:spacing w:lineRule="auto" w:line="360" w:before="0" w:after="120"/>
        <w:ind w:hanging="360" w:start="907" w:end="0"/>
        <w:rPr>
          <w:b/>
          <w:bCs/>
          <w:i/>
          <w:i/>
          <w:iCs/>
        </w:rPr>
      </w:pPr>
      <w:r>
        <w:rPr>
          <w:b/>
          <w:bCs/>
          <w:i/>
          <w:iCs/>
        </w:rPr>
        <w:t>D.</w:t>
        <w:tab/>
        <w:t xml:space="preserve">Timeline of the Retail Portion of Settlement </w:t>
      </w:r>
    </w:p>
    <w:p>
      <w:pPr>
        <w:pStyle w:val="Bullet2"/>
        <w:widowControl w:val="false"/>
        <w:spacing w:lineRule="auto" w:line="360" w:before="0" w:after="120"/>
        <w:ind w:firstLine="360" w:start="547" w:end="0"/>
        <w:rPr/>
      </w:pPr>
      <w:r>
        <w:rPr/>
        <w:t>In general, the effective date of this Settlement Agreement is the later of:  (a) ninety (90) days after the issuance of a Commission decision approving it, or (b) October 1, 2000.  The Settlement Agreement terminates on August 31, 2006.</w:t>
      </w:r>
    </w:p>
    <w:p>
      <w:pPr>
        <w:pStyle w:val="Bullet2"/>
        <w:widowControl w:val="false"/>
        <w:spacing w:lineRule="auto" w:line="360" w:before="0" w:after="120"/>
        <w:ind w:firstLine="360" w:start="547" w:end="0"/>
        <w:rPr/>
      </w:pPr>
      <w:r>
        <w:rPr/>
        <w:t>In some cases, the Settlement Agreement provides for later implementation dates for certain provisions and in either cases allows for some measures to terminate prior to August 31, 2006.   The following are the provisions that do not run concurrent with the Settlement Agreement. Only differences are shown below.</w:t>
      </w:r>
    </w:p>
    <w:p>
      <w:pPr>
        <w:pStyle w:val="Bullet2"/>
        <w:pBdr>
          <w:bottom w:val="single" w:sz="6" w:space="1" w:color="000000"/>
        </w:pBdr>
        <w:tabs>
          <w:tab w:val="clear" w:pos="360"/>
          <w:tab w:val="center" w:pos="4860" w:leader="none"/>
          <w:tab w:val="center" w:pos="7920" w:leader="none"/>
        </w:tabs>
        <w:spacing w:lineRule="auto" w:line="360" w:before="0" w:after="240"/>
        <w:ind w:hanging="0" w:start="540" w:end="0"/>
        <w:rPr>
          <w:u w:val="single"/>
        </w:rPr>
      </w:pPr>
      <w:r>
        <w:rPr/>
        <w:tab/>
        <w:t>Effective</w:t>
        <w:tab/>
        <w:t>Termination</w:t>
        <w:br/>
        <w:t>Provision</w:t>
        <w:tab/>
        <w:t>Date</w:t>
        <w:tab/>
        <w:t>Date</w:t>
      </w:r>
    </w:p>
    <w:p>
      <w:pPr>
        <w:pStyle w:val="BodyText3"/>
        <w:tabs>
          <w:tab w:val="clear" w:pos="360"/>
          <w:tab w:val="left" w:pos="3780" w:leader="none"/>
          <w:tab w:val="center" w:pos="7110" w:leader="none"/>
        </w:tabs>
        <w:spacing w:lineRule="auto" w:line="360" w:before="0" w:after="240"/>
        <w:ind w:hanging="360" w:start="900" w:end="0"/>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Customer information</w:t>
        <w:tab/>
        <w:t>By June 16, 2000</w:t>
        <w:br/>
        <w:t>data access workshops</w:t>
      </w:r>
    </w:p>
    <w:p>
      <w:pPr>
        <w:pStyle w:val="BodyText3"/>
        <w:tabs>
          <w:tab w:val="clear" w:pos="360"/>
          <w:tab w:val="left" w:pos="3780" w:leader="none"/>
        </w:tabs>
        <w:spacing w:lineRule="auto" w:line="360"/>
        <w:ind w:hanging="353" w:start="900" w:end="0"/>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Utility consolidated billing</w:t>
        <w:tab/>
        <w:t xml:space="preserve">12-18 months after </w:t>
        <w:br/>
        <w:t xml:space="preserve">service offering </w:t>
        <w:tab/>
        <w:t>Commission approval,</w:t>
      </w:r>
    </w:p>
    <w:p>
      <w:pPr>
        <w:pStyle w:val="BodyText3"/>
        <w:tabs>
          <w:tab w:val="clear" w:pos="360"/>
          <w:tab w:val="left" w:pos="3780" w:leader="none"/>
        </w:tabs>
        <w:spacing w:lineRule="auto" w:line="360" w:before="0" w:after="240"/>
        <w:ind w:hanging="180" w:start="3780" w:end="0"/>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ab/>
        <w:t xml:space="preserve">when programming is </w:t>
        <w:br/>
        <w:t xml:space="preserve">completed (SoCal Gas </w:t>
        <w:br/>
        <w:t xml:space="preserve">on 7/31/2001; SDGE </w:t>
        <w:br/>
        <w:t>on 4/1/2001)</w:t>
      </w:r>
    </w:p>
    <w:p>
      <w:pPr>
        <w:pStyle w:val="BodyText3"/>
        <w:tabs>
          <w:tab w:val="clear" w:pos="360"/>
          <w:tab w:val="left" w:pos="1080" w:leader="none"/>
          <w:tab w:val="left" w:pos="3780" w:leader="none"/>
          <w:tab w:val="left" w:pos="6840" w:leader="none"/>
        </w:tabs>
        <w:spacing w:lineRule="auto" w:line="360" w:before="0" w:after="240"/>
        <w:ind w:start="540" w:end="0"/>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Settlement billing credits</w:t>
        <w:tab/>
        <w:t>Upon Settlement approval</w:t>
        <w:tab/>
        <w:t>Adoption of New Credits</w:t>
      </w:r>
      <w:r>
        <w:br w:type="page"/>
      </w:r>
    </w:p>
    <w:p>
      <w:pPr>
        <w:pStyle w:val="Bullet2"/>
        <w:pBdr>
          <w:bottom w:val="single" w:sz="6" w:space="1" w:color="000000"/>
        </w:pBdr>
        <w:tabs>
          <w:tab w:val="clear" w:pos="360"/>
          <w:tab w:val="center" w:pos="4860" w:leader="none"/>
          <w:tab w:val="center" w:pos="7920" w:leader="none"/>
        </w:tabs>
        <w:spacing w:lineRule="auto" w:line="360" w:before="0" w:after="240"/>
        <w:ind w:hanging="0" w:start="540" w:end="0"/>
        <w:rPr>
          <w:u w:val="single"/>
        </w:rPr>
      </w:pPr>
      <w:r>
        <w:rPr/>
        <w:tab/>
        <w:t>Effective</w:t>
        <w:tab/>
        <w:t>Termination</w:t>
        <w:br/>
        <w:t>Provision</w:t>
        <w:tab/>
        <w:t>Date</w:t>
        <w:tab/>
        <w:t>Date</w:t>
      </w:r>
    </w:p>
    <w:p>
      <w:pPr>
        <w:pStyle w:val="BodyText3"/>
        <w:tabs>
          <w:tab w:val="clear" w:pos="360"/>
          <w:tab w:val="left" w:pos="3780" w:leader="none"/>
        </w:tabs>
        <w:spacing w:lineRule="auto" w:line="360" w:before="0" w:after="240"/>
        <w:ind w:hanging="3240" w:start="3780" w:end="0"/>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New billing credits </w:t>
        <w:tab/>
        <w:t xml:space="preserve">The later of Commission </w:t>
        <w:br/>
        <w:t>approval or January 1, 2003</w:t>
        <w:br/>
        <w:t xml:space="preserve">based on a filing in the </w:t>
        <w:br/>
        <w:t>first quarter, 2002.</w:t>
      </w:r>
    </w:p>
    <w:p>
      <w:pPr>
        <w:pStyle w:val="BodyText3"/>
        <w:tabs>
          <w:tab w:val="clear" w:pos="360"/>
          <w:tab w:val="left" w:pos="3780" w:leader="none"/>
        </w:tabs>
        <w:spacing w:lineRule="auto" w:line="360"/>
        <w:ind w:hanging="353" w:start="900" w:end="0"/>
        <w:rPr>
          <w:rFonts w:ascii="Times New Roman" w:hAnsi="Times New Roman" w:eastAsia="Times New Roman" w:cs="Times New Roman"/>
          <w:u w:val="none"/>
        </w:rPr>
      </w:pPr>
      <w:r>
        <w:rPr>
          <w:rFonts w:eastAsia="Times New Roman" w:cs="Times New Roman" w:ascii="Times New Roman" w:hAnsi="Times New Roman"/>
          <w:u w:val="none"/>
        </w:rPr>
        <w:t xml:space="preserve">Core procurement </w:t>
        <w:tab/>
        <w:t>Settlement filed 3 months</w:t>
        <w:br/>
        <w:t xml:space="preserve">re-examination </w:t>
        <w:tab/>
        <w:t>after Commission approval;</w:t>
      </w:r>
    </w:p>
    <w:p>
      <w:pPr>
        <w:pStyle w:val="BodyText3"/>
        <w:tabs>
          <w:tab w:val="clear" w:pos="360"/>
          <w:tab w:val="left" w:pos="3780" w:leader="none"/>
        </w:tabs>
        <w:spacing w:lineRule="auto" w:line="360" w:before="0" w:after="240"/>
        <w:ind w:hanging="3240" w:start="3787" w:end="0"/>
        <w:rPr>
          <w:rFonts w:ascii="Times New Roman" w:hAnsi="Times New Roman" w:eastAsia="Times New Roman" w:cs="Times New Roman"/>
          <w:color w:val="000000"/>
          <w:u w:val="none"/>
        </w:rPr>
      </w:pPr>
      <w:r>
        <w:rPr>
          <w:rFonts w:eastAsia="Times New Roman" w:cs="Times New Roman" w:ascii="Times New Roman" w:hAnsi="Times New Roman"/>
          <w:u w:val="none"/>
        </w:rPr>
        <w:tab/>
        <w:t>or application filed 6 months</w:t>
        <w:br/>
        <w:t>post Commission approval</w:t>
      </w:r>
    </w:p>
    <w:p>
      <w:pPr>
        <w:pStyle w:val="Bullet2"/>
        <w:widowControl w:val="false"/>
        <w:tabs>
          <w:tab w:val="clear" w:pos="360"/>
          <w:tab w:val="left" w:pos="6840" w:leader="none"/>
        </w:tabs>
        <w:spacing w:lineRule="auto" w:line="360" w:before="0" w:after="0"/>
        <w:ind w:hanging="6293" w:start="6840" w:end="0"/>
        <w:rPr/>
      </w:pPr>
      <w:r>
        <w:rPr/>
        <w:t xml:space="preserve">Core subscription </w:t>
        <w:tab/>
        <w:t xml:space="preserve">April 1, 2001 </w:t>
        <w:br/>
        <w:t>[Upon Settlement approval, all new contracts’ terms to no later than 7/31/01]</w:t>
      </w:r>
    </w:p>
    <w:p>
      <w:pPr>
        <w:pStyle w:val="Bullet2"/>
        <w:widowControl w:val="false"/>
        <w:pBdr>
          <w:bottom w:val="single" w:sz="6" w:space="1" w:color="000000"/>
        </w:pBdr>
        <w:tabs>
          <w:tab w:val="clear" w:pos="360"/>
          <w:tab w:val="left" w:pos="6840" w:leader="none"/>
        </w:tabs>
        <w:spacing w:lineRule="auto" w:line="360" w:before="0" w:after="0"/>
        <w:ind w:hanging="353" w:start="900" w:end="0"/>
        <w:rPr>
          <w:color w:val="000000"/>
        </w:rPr>
      </w:pPr>
      <w:r>
        <w:rPr>
          <w:color w:val="000000"/>
        </w:rPr>
        <w:t xml:space="preserve">Meter ownership/Add-on </w:t>
        <w:tab/>
        <w:t>Dec. 31, 2002</w:t>
        <w:br/>
        <w:t>device pilot program</w:t>
        <w:tab/>
        <w:t>Joint evaluation report</w:t>
        <w:br/>
        <w:tab/>
        <w:t>due on 7/1/2002</w:t>
      </w:r>
    </w:p>
    <w:p>
      <w:pPr>
        <w:pStyle w:val="Bullet2"/>
        <w:tabs>
          <w:tab w:val="clear" w:pos="360"/>
          <w:tab w:val="left" w:pos="6840" w:leader="none"/>
        </w:tabs>
        <w:spacing w:lineRule="auto" w:line="360" w:before="0" w:after="120"/>
        <w:ind w:firstLine="547" w:start="0" w:end="0"/>
        <w:rPr>
          <w:color w:val="000000"/>
        </w:rPr>
      </w:pPr>
      <w:r>
        <w:rPr>
          <w:color w:val="000000"/>
        </w:rPr>
      </w:r>
    </w:p>
    <w:p>
      <w:pPr>
        <w:pStyle w:val="Bullet2"/>
        <w:tabs>
          <w:tab w:val="clear" w:pos="360"/>
          <w:tab w:val="left" w:pos="6840" w:leader="none"/>
        </w:tabs>
        <w:spacing w:lineRule="auto" w:line="360" w:before="0" w:after="120"/>
        <w:ind w:firstLine="547" w:start="0" w:end="0"/>
        <w:rPr>
          <w:color w:val="000000"/>
        </w:rPr>
      </w:pPr>
      <w:r>
        <w:rPr>
          <w:color w:val="000000"/>
        </w:rPr>
        <w:t>This concludes my testimony.</w:t>
      </w:r>
    </w:p>
    <w:p>
      <w:pPr>
        <w:pStyle w:val="Bullet2"/>
        <w:tabs>
          <w:tab w:val="clear" w:pos="360"/>
          <w:tab w:val="left" w:pos="3510" w:leader="none"/>
          <w:tab w:val="left" w:pos="6480" w:leader="none"/>
        </w:tabs>
        <w:spacing w:lineRule="auto" w:line="360" w:before="0" w:after="240"/>
        <w:ind w:hanging="6480" w:start="540" w:end="0"/>
        <w:rPr>
          <w:color w:val="000000"/>
        </w:rPr>
      </w:pPr>
      <w:r>
        <w:rPr>
          <w:color w:val="000000"/>
        </w:rPr>
      </w:r>
    </w:p>
    <w:sectPr>
      <w:headerReference w:type="default" r:id="rId2"/>
      <w:footerReference w:type="default" r:id="rId3"/>
      <w:footnotePr>
        <w:numFmt w:val="decimal"/>
      </w:footnotePr>
      <w:type w:val="nextPage"/>
      <w:pgSz w:w="12240" w:h="15840"/>
      <w:pgMar w:left="1440" w:right="1440" w:gutter="0" w:header="720" w:top="1440" w:footer="720" w:bottom="1440"/>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Courier New">
    <w:charset w:val="01"/>
    <w:family w:val="modern"/>
    <w:pitch w:val="default"/>
  </w:font>
  <w:font w:name="Tahoma">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2"/>
        <w:szCs w:val="22"/>
      </w:rPr>
      <w:t>-</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31</w:t>
    </w:r>
    <w:r>
      <w:rPr>
        <w:rStyle w:val="PageNumber"/>
        <w:sz w:val="22"/>
        <w:szCs w:val="22"/>
      </w:rPr>
      <w:fldChar w:fldCharType="end"/>
    </w:r>
    <w:r>
      <w:rPr>
        <w:rStyle w:val="PageNumber"/>
        <w:sz w:val="22"/>
        <w:szCs w:val="22"/>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Other parties supporting the Settlement Agreement include California Industrial Group; California Manufacturers and Technology Association; California Utility Buyers;  Calpine Corporation; City of Vernon; Coral Energy Resources; Dynegy, Inc.; Enron, Inc.; GreenMountain.com; Indicated Producers, the members of which are Amoco Energy Trading Company, BP Amoco Corporation,, Burlington Resources, Chevron U.S.A. Inc., Conoco Inc., Texaco Natural Gas Inc., Occidental Energy Marketing Incorporated;  Office of Ratepayer Advocates; REMAC; Shell Energy Services; Southern California Edison Company (SCE); Transwestern Pipeline Company; TXU Energy Services; United Energy Management; Utility.com; Watson Cogeneration Company; Western Hub Properties; and Wild Goose Storage Inc.  SCE has declined to support the retail provisions of the Agreement.</w:t>
      </w:r>
    </w:p>
  </w:footnote>
  <w:footnote w:id="3">
    <w:p>
      <w:pPr>
        <w:pStyle w:val="FootnoteText"/>
        <w:rPr/>
      </w:pPr>
      <w:r>
        <w:rPr>
          <w:rStyle w:val="FootnoteCharacters"/>
        </w:rPr>
        <w:footnoteRef/>
      </w:r>
      <w:r>
        <w:rPr/>
        <w:t xml:space="preserve"> </w:t>
      </w:r>
      <w:r>
        <w:rPr/>
        <w:t>The $1.78 MM figure is based on 10 percent of volumes switching to core aggregators and is net to the entire core.  The larger the number of commercial and industrial customers switching to core aggregators, the lower the net benefit to commercial and industrial customers who remain with utility procurement. Likewise, the larger the number of residential customers switching, the lower the net benefit to residential customers who remain with utility procurement.</w:t>
      </w:r>
    </w:p>
  </w:footnote>
  <w:footnote w:id="4">
    <w:p>
      <w:pPr>
        <w:pStyle w:val="FootnoteText"/>
        <w:rPr/>
      </w:pPr>
      <w:r>
        <w:rPr>
          <w:rStyle w:val="FootnoteCharacters"/>
        </w:rPr>
        <w:footnoteRef/>
      </w:r>
      <w:r>
        <w:rPr/>
        <w:t xml:space="preserve"> </w:t>
      </w:r>
      <w:r>
        <w:rPr/>
        <w:t>Throughout the testimony, I use the term “Energy Service Provider” or “ESP” to refer the broad group of gas and electric suppliers.  “Core Aggregators” and “Core Transport Agents” are alternate terms referring specifically to gas suppliers used in the Settlement Agreement, but are specifically included in my use of the term ESP.</w:t>
      </w:r>
    </w:p>
  </w:footnote>
  <w:footnote w:id="5">
    <w:p>
      <w:pPr>
        <w:pStyle w:val="FootnoteText"/>
        <w:rPr/>
      </w:pPr>
      <w:r>
        <w:rPr>
          <w:rStyle w:val="FootnoteCharacters"/>
        </w:rPr>
        <w:footnoteRef/>
      </w:r>
      <w:r>
        <w:rPr/>
        <w:t xml:space="preserve"> </w:t>
      </w:r>
      <w:r>
        <w:rPr/>
        <w:t>Based on extrapolating current participation and current volumes in the CTA program.</w:t>
      </w:r>
    </w:p>
  </w:footnote>
  <w:footnote w:id="6">
    <w:p>
      <w:pPr>
        <w:pStyle w:val="FootnoteText"/>
        <w:rPr/>
      </w:pPr>
      <w:r>
        <w:rPr>
          <w:rStyle w:val="FootnoteCharacters"/>
        </w:rPr>
        <w:footnoteRef/>
      </w:r>
      <w:r>
        <w:rPr/>
        <w:t xml:space="preserve"> </w:t>
      </w:r>
      <w:r>
        <w:rPr/>
        <w:t xml:space="preserve">The experience of Peachtree Natural Gas in Georgia shows the importance of a reliable billing agent.  Peachtree declared bankruptcy and was forced to exit the market because of cash flow problems created by billing difficulties. Energy Market Solutions, </w:t>
      </w:r>
      <w:r>
        <w:rPr>
          <w:i/>
          <w:iCs/>
        </w:rPr>
        <w:t>Natural Gas War</w:t>
      </w:r>
      <w:r>
        <w:rPr/>
        <w:t xml:space="preserve">, p. 73. It should be noted that even with the Peachtree bankruptcy, customers continued to receive 'uninterrupted , high quality service.'  Hall, George R., </w:t>
      </w:r>
      <w:r>
        <w:rPr>
          <w:i/>
          <w:iCs/>
        </w:rPr>
        <w:t>Consumer Benefits from Deregulation of Retail Natural Gas Markets</w:t>
      </w:r>
      <w:r>
        <w:rPr/>
        <w:t>, PHB Hagler Bailly, p. 28.</w:t>
      </w:r>
    </w:p>
  </w:footnote>
  <w:footnote w:id="7">
    <w:p>
      <w:pPr>
        <w:pStyle w:val="FootnoteText"/>
        <w:rPr/>
      </w:pPr>
      <w:r>
        <w:rPr>
          <w:rStyle w:val="FootnoteCharacters"/>
        </w:rPr>
        <w:footnoteRef/>
      </w:r>
      <w:r>
        <w:rPr/>
        <w:t xml:space="preserve"> </w:t>
      </w:r>
      <w:r>
        <w:rPr/>
        <w:t xml:space="preserve">Crandall, Robert and Jerry Ellig, </w:t>
      </w:r>
      <w:r>
        <w:rPr>
          <w:i/>
          <w:iCs/>
        </w:rPr>
        <w:t>Economic Deregulation and Customer Choice: Lessons for the</w:t>
      </w:r>
      <w:r>
        <w:rPr/>
        <w:t xml:space="preserve"> </w:t>
      </w:r>
      <w:r>
        <w:rPr>
          <w:i/>
          <w:iCs/>
        </w:rPr>
        <w:t>Electric Industry</w:t>
      </w:r>
      <w:r>
        <w:rPr/>
        <w:t>, 1997.</w:t>
      </w:r>
    </w:p>
  </w:footnote>
  <w:footnote w:id="8">
    <w:p>
      <w:pPr>
        <w:pStyle w:val="FootnoteText"/>
        <w:rPr/>
      </w:pPr>
      <w:r>
        <w:rPr>
          <w:rStyle w:val="FootnoteCharacters"/>
        </w:rPr>
        <w:footnoteRef/>
      </w:r>
      <w:r>
        <w:rPr/>
        <w:t xml:space="preserve"> </w:t>
      </w:r>
      <w:r>
        <w:rPr/>
        <w:t xml:space="preserve">The level pay programs offered by utilities are bill balancing options for customers, but not pricing options.  For examples of pricing options in other states, see ESP pricing in Ohio, </w:t>
      </w:r>
      <w:r>
        <w:rPr>
          <w:rStyle w:val="Hyperlink"/>
        </w:rPr>
        <w:t>http://www.puc.state.oh.us/CONSUMER/GASCHOICE/COH_Matrix.html</w:t>
      </w:r>
      <w:r>
        <w:rPr/>
        <w:t xml:space="preserve">. Similarly, in Georgia, residential customers could choose from 22 distinct pricing options."  footnote - Hall, George R., </w:t>
      </w:r>
      <w:r>
        <w:rPr>
          <w:i/>
          <w:iCs/>
        </w:rPr>
        <w:t>Consumer Benefits from Deregulation of Retail Natural Gas Markets</w:t>
      </w:r>
      <w:r>
        <w:rPr/>
        <w:t>, p. 16.</w:t>
      </w:r>
    </w:p>
  </w:footnote>
  <w:footnote w:id="9">
    <w:p>
      <w:pPr>
        <w:pStyle w:val="FootnoteText"/>
        <w:rPr/>
      </w:pPr>
      <w:r>
        <w:rPr>
          <w:rStyle w:val="FootnoteCharacters"/>
        </w:rPr>
        <w:footnoteRef/>
      </w:r>
      <w:r>
        <w:rPr/>
        <w:t xml:space="preserve"> </w:t>
      </w:r>
      <w:r>
        <w:rPr/>
        <w:t>For example, Ohio, Georgia, and parts of New York, Maryland, Massachusetts, and Virginia.</w:t>
      </w:r>
    </w:p>
  </w:footnote>
  <w:footnote w:id="10">
    <w:p>
      <w:pPr>
        <w:pStyle w:val="FootnoteText"/>
        <w:rPr/>
      </w:pPr>
      <w:r>
        <w:rPr>
          <w:rStyle w:val="FootnoteCharacters"/>
        </w:rPr>
        <w:footnoteRef/>
      </w:r>
      <w:r>
        <w:rPr/>
        <w:t xml:space="preserve"> </w:t>
      </w:r>
      <w:r>
        <w:rPr/>
        <w:t>Recovery of these costs is detailed in section V.A.</w:t>
      </w:r>
    </w:p>
  </w:footnote>
  <w:footnote w:id="11">
    <w:p>
      <w:pPr>
        <w:pStyle w:val="FootnoteText"/>
        <w:rPr/>
      </w:pPr>
      <w:r>
        <w:rPr>
          <w:rStyle w:val="FootnoteCharacters"/>
        </w:rPr>
        <w:footnoteRef/>
      </w:r>
      <w:r>
        <w:rPr/>
        <w:t xml:space="preserve"> </w:t>
      </w:r>
      <w:r>
        <w:rPr/>
        <w:t>These are rough approximations since the Commission did not authorize individual cost items, but a percentage of all the internally managed costs. The Commission also authorized SDG&amp;E to spend approximately $6 million to automate the customer choice process and institute utility consolidated billing for electric customers.  The details can be found in A. 98-05-015 and D.99-09-064 for SCE, A. 98-05-004 and D.99-05-031 for PG&amp;E, and A.98-05-006 and D99-05-031 for SDG&amp;E.</w:t>
      </w:r>
    </w:p>
  </w:footnote>
  <w:footnote w:id="12">
    <w:p>
      <w:pPr>
        <w:pStyle w:val="FootnoteText"/>
        <w:rPr/>
      </w:pPr>
      <w:r>
        <w:rPr>
          <w:rStyle w:val="FootnoteCharacters"/>
        </w:rPr>
        <w:footnoteRef/>
      </w:r>
      <w:r>
        <w:rPr/>
        <w:t xml:space="preserve"> </w:t>
      </w:r>
      <w:r>
        <w:rPr/>
        <w:t>See section V.B.</w:t>
      </w:r>
    </w:p>
  </w:footnote>
  <w:footnote w:id="13">
    <w:p>
      <w:pPr>
        <w:pStyle w:val="FootnoteText"/>
        <w:rPr/>
      </w:pPr>
      <w:r>
        <w:rPr>
          <w:rStyle w:val="FootnoteCharacters"/>
        </w:rPr>
        <w:footnoteRef/>
      </w:r>
      <w:r>
        <w:rPr/>
        <w:t xml:space="preserve"> </w:t>
      </w:r>
      <w:r>
        <w:rPr/>
        <w:t xml:space="preserve">See </w:t>
      </w:r>
      <w:r>
        <w:rPr>
          <w:rStyle w:val="Hyperlink"/>
        </w:rPr>
        <w:t>http://www.puc.state.oh.us/consumer/index.html</w:t>
      </w:r>
      <w:r>
        <w:rPr/>
        <w:t>, specifically the Commission Staff Report on Natural Gas, “Customer Choice Status Report,” p. 2-12.</w:t>
      </w:r>
    </w:p>
  </w:footnote>
  <w:footnote w:id="14">
    <w:p>
      <w:pPr>
        <w:pStyle w:val="FootnoteText"/>
        <w:rPr/>
      </w:pPr>
      <w:r>
        <w:rPr>
          <w:rStyle w:val="FootnoteCharacters"/>
        </w:rPr>
        <w:footnoteRef/>
      </w:r>
      <w:r>
        <w:rPr/>
        <w:t xml:space="preserve"> </w:t>
      </w:r>
      <w:r>
        <w:rPr/>
        <w:t>For ESPs that provide gas only to a gas and electric customer, SDG&amp;E does not avoid the costs related to bill distribution, remittance processing, collections, electric uncollectible expenses, and billing inquiries; so the credits are also appropriate in the case where SDG&amp;E continues to send and electric bill.</w:t>
      </w:r>
    </w:p>
  </w:footnote>
  <w:footnote w:id="15">
    <w:p>
      <w:pPr>
        <w:pStyle w:val="FootnoteText"/>
        <w:rPr/>
      </w:pPr>
      <w:r>
        <w:rPr>
          <w:rStyle w:val="FootnoteCharacters"/>
        </w:rPr>
        <w:footnoteRef/>
      </w:r>
      <w:r>
        <w:rPr/>
        <w:t xml:space="preserve"> </w:t>
      </w:r>
      <w:r>
        <w:rPr/>
        <w:t>D.97-04-082, finding of fact number 71 for SoCalGas and number 106 for SDG&amp;E.</w:t>
      </w:r>
    </w:p>
  </w:footnote>
  <w:footnote w:id="16">
    <w:p>
      <w:pPr>
        <w:pStyle w:val="FootnoteText"/>
        <w:rPr/>
      </w:pPr>
      <w:r>
        <w:rPr>
          <w:rStyle w:val="FootnoteCharacters"/>
        </w:rPr>
        <w:footnoteRef/>
      </w:r>
      <w:r>
        <w:rPr/>
        <w:t xml:space="preserve"> </w:t>
      </w:r>
      <w:r>
        <w:rPr/>
        <w:t>The revenue requirement  related to capital expenditures is based on standard depreciation lives of 5 years for computer hardware, 10 years on software and programming connected to the billing system , and 6 years on all other software and programming.</w:t>
      </w:r>
    </w:p>
  </w:footnote>
  <w:footnote w:id="17">
    <w:p>
      <w:pPr>
        <w:pStyle w:val="FootnoteText"/>
        <w:rPr/>
      </w:pPr>
      <w:r>
        <w:rPr>
          <w:rStyle w:val="FootnoteCharacters"/>
        </w:rPr>
        <w:footnoteRef/>
      </w:r>
      <w:r>
        <w:rPr/>
        <w:t xml:space="preserve"> </w:t>
      </w:r>
      <w:r>
        <w:rPr/>
        <w:t>The revenue requirement  related to capital expenditures is based on standard depreciation lives of 5 years for computer hardware, 10 years on software and programming connected to the billing system , and 6 years on all other software and programming.</w:t>
      </w:r>
    </w:p>
  </w:footnote>
  <w:footnote w:id="18">
    <w:p>
      <w:pPr>
        <w:pStyle w:val="FootnoteText"/>
        <w:rPr/>
      </w:pPr>
      <w:r>
        <w:rPr>
          <w:rStyle w:val="FootnoteCharacters"/>
        </w:rPr>
        <w:footnoteRef/>
      </w:r>
      <w:r>
        <w:rPr/>
        <w:t xml:space="preserve"> </w:t>
      </w:r>
      <w:r>
        <w:rPr/>
        <w:t>The revenue requirement  related to capital expenditures is based on standard depreciation lives of 5 years for computer hardware, 10 years on software and programming connected to the billing system , and 6 years on all other software and programming.</w:t>
      </w:r>
    </w:p>
  </w:footnote>
  <w:footnote w:id="19">
    <w:p>
      <w:pPr>
        <w:pStyle w:val="FootnoteText"/>
        <w:rPr/>
      </w:pPr>
      <w:r>
        <w:rPr>
          <w:rStyle w:val="FootnoteCharacters"/>
        </w:rPr>
        <w:footnoteRef/>
      </w:r>
      <w:r>
        <w:rPr/>
        <w:t xml:space="preserve"> </w:t>
      </w:r>
      <w:r>
        <w:rPr/>
        <w:t>For example, see the New York Department of Public Service, 1999 Natural Gas Survey, bill savings was the most important factor followed by reliability.</w:t>
      </w:r>
    </w:p>
  </w:footnote>
  <w:footnote w:id="20">
    <w:p>
      <w:pPr>
        <w:pStyle w:val="FootnoteText"/>
        <w:rPr/>
      </w:pPr>
      <w:r>
        <w:rPr>
          <w:rStyle w:val="FootnoteCharacters"/>
        </w:rPr>
        <w:footnoteRef/>
      </w:r>
      <w:r>
        <w:rPr/>
        <w:t xml:space="preserve">   </w:t>
      </w:r>
      <w:r>
        <w:rPr/>
        <w:t xml:space="preserve">Hall, George R., </w:t>
      </w:r>
      <w:r>
        <w:rPr>
          <w:i/>
          <w:iCs/>
        </w:rPr>
        <w:t>Consumer Benefits from Deregulation of Retail Natural Gas Markets</w:t>
      </w:r>
      <w:r>
        <w:rPr/>
        <w:t>, pp. 10-11</w:t>
      </w:r>
    </w:p>
  </w:footnote>
  <w:footnote w:id="21">
    <w:p>
      <w:pPr>
        <w:pStyle w:val="FootnoteText"/>
        <w:rPr/>
      </w:pPr>
      <w:r>
        <w:rPr>
          <w:rStyle w:val="FootnoteCharacters"/>
        </w:rPr>
        <w:footnoteRef/>
      </w:r>
      <w:r>
        <w:rPr/>
        <w:t xml:space="preserve">   </w:t>
      </w:r>
      <w:r>
        <w:rPr/>
        <w:t>The price advantage of ESPs will depend on their ability to find saving for potential customers.  It is projected that the core capacity unbundling alone will create a 2 cent to 3 cent per therm price advantage for ESPs, depending on the market price for interstate capacity relative to the as-billed tariff rate.</w:t>
      </w:r>
    </w:p>
  </w:footnote>
  <w:footnote w:id="22">
    <w:p>
      <w:pPr>
        <w:pStyle w:val="FootnoteText"/>
        <w:rPr/>
      </w:pPr>
      <w:r>
        <w:rPr>
          <w:rStyle w:val="FootnoteCharacters"/>
        </w:rPr>
        <w:footnoteRef/>
      </w:r>
      <w:r>
        <w:rPr/>
        <w:t xml:space="preserve">  </w:t>
      </w:r>
      <w:r>
        <w:rPr/>
        <w:t xml:space="preserve">See </w:t>
      </w:r>
      <w:r>
        <w:rPr>
          <w:rStyle w:val="Hyperlink"/>
        </w:rPr>
        <w:t>http://www.puc.state.oh.us/consumer/index.html</w:t>
      </w:r>
      <w:r>
        <w:rPr/>
        <w:t>, “Participating Gas Suppliers.”</w:t>
      </w:r>
    </w:p>
  </w:footnote>
  <w:footnote w:id="23">
    <w:p>
      <w:pPr>
        <w:pStyle w:val="FootnoteText"/>
        <w:rPr/>
      </w:pPr>
      <w:r>
        <w:rPr>
          <w:rStyle w:val="FootnoteCharacters"/>
        </w:rPr>
        <w:footnoteRef/>
      </w:r>
      <w:r>
        <w:rPr/>
        <w:t xml:space="preserve">  </w:t>
      </w:r>
      <w:r>
        <w:rPr/>
        <w:t xml:space="preserve">See </w:t>
      </w:r>
      <w:r>
        <w:rPr>
          <w:rStyle w:val="Hyperlink"/>
        </w:rPr>
        <w:t>http://www.puc.state.oh.us/consumer/index.html</w:t>
      </w:r>
      <w:r>
        <w:rPr/>
        <w:t>, specifically the Commission Staff Report on Natural Gas, “Customer Choice Status Report,” pp. 1-12  and 1-16.</w:t>
      </w:r>
    </w:p>
  </w:footnote>
  <w:footnote w:id="24">
    <w:p>
      <w:pPr>
        <w:pStyle w:val="FootnoteText"/>
        <w:rPr/>
      </w:pPr>
      <w:r>
        <w:rPr>
          <w:rStyle w:val="FootnoteCharacters"/>
        </w:rPr>
        <w:footnoteRef/>
      </w:r>
      <w:r>
        <w:rPr/>
        <w:t xml:space="preserve">  </w:t>
      </w:r>
      <w:r>
        <w:rPr/>
        <w:t xml:space="preserve">See, </w:t>
      </w:r>
      <w:r>
        <w:rPr>
          <w:rStyle w:val="Hyperlink"/>
        </w:rPr>
        <w:t>http://www.aglc.com/deregulation/marketers.htm</w:t>
      </w:r>
      <w:r>
        <w:rPr/>
        <w:t xml:space="preserve">, and Energy Market Solutions, </w:t>
      </w:r>
      <w:r>
        <w:rPr>
          <w:i/>
          <w:iCs/>
        </w:rPr>
        <w:t>Natural Gas War, p. 23.</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szCs w:val="24"/>
      </w:rPr>
    </w:pPr>
    <w:r>
      <w:rPr>
        <w:sz w:val="24"/>
        <w:szCs w:val="24"/>
      </w:rPr>
      <w:t xml:space="preserve">The Prepared Direct Testimony of Eric B. Nelson </w:t>
      <w:br/>
      <w:t>on Behalf of SoCalGas in Support of the Comprehensive Settlement Agreement</w:t>
    </w:r>
  </w:p>
  <w:p>
    <w:pPr>
      <w:pStyle w:val="Header"/>
      <w:jc w:val="center"/>
      <w:rPr>
        <w:sz w:val="28"/>
        <w:szCs w:val="28"/>
      </w:rPr>
    </w:pPr>
    <w:r>
      <w:rPr>
        <w:sz w:val="28"/>
        <w:szCs w:val="28"/>
      </w:rPr>
      <w:t>DRAFT # 2  5/3/2000</w:t>
    </w:r>
  </w:p>
  <w:p>
    <w:pPr>
      <w:pStyle w:val="Header"/>
      <w:jc w:val="center"/>
      <w:rPr>
        <w:sz w:val="22"/>
        <w:szCs w:val="22"/>
      </w:rPr>
    </w:pPr>
    <w:r>
      <w:rPr>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36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b/>
      <w:bCs/>
      <w:u w:val="single"/>
    </w:rPr>
  </w:style>
  <w:style w:type="paragraph" w:styleId="Heading2">
    <w:name w:val="heading 2"/>
    <w:basedOn w:val="Normal"/>
    <w:next w:val="Normal"/>
    <w:qFormat/>
    <w:pPr>
      <w:keepNext w:val="true"/>
      <w:numPr>
        <w:ilvl w:val="1"/>
        <w:numId w:val="1"/>
      </w:numPr>
      <w:spacing w:before="0" w:after="120"/>
      <w:ind w:hanging="0" w:start="360" w:end="0"/>
      <w:outlineLvl w:val="1"/>
    </w:pPr>
    <w:rPr>
      <w:u w:val="single"/>
    </w:rPr>
  </w:style>
  <w:style w:type="paragraph" w:styleId="Heading3">
    <w:name w:val="heading 3"/>
    <w:basedOn w:val="Normal"/>
    <w:next w:val="Normal"/>
    <w:qFormat/>
    <w:pPr>
      <w:keepNext w:val="true"/>
      <w:widowControl/>
      <w:numPr>
        <w:ilvl w:val="2"/>
        <w:numId w:val="1"/>
      </w:numPr>
      <w:tabs>
        <w:tab w:val="left" w:pos="360" w:leader="none"/>
      </w:tabs>
      <w:spacing w:before="0" w:after="120"/>
      <w:ind w:hanging="720" w:start="720" w:end="0"/>
      <w:outlineLvl w:val="2"/>
    </w:pPr>
    <w:rPr>
      <w:b/>
      <w:bCs/>
    </w:rPr>
  </w:style>
  <w:style w:type="paragraph" w:styleId="Heading5">
    <w:name w:val="heading 5"/>
    <w:basedOn w:val="Normal"/>
    <w:next w:val="Normal"/>
    <w:qFormat/>
    <w:pPr>
      <w:keepNext w:val="true"/>
      <w:numPr>
        <w:ilvl w:val="4"/>
        <w:numId w:val="1"/>
      </w:numPr>
      <w:jc w:val="both"/>
      <w:outlineLvl w:val="4"/>
    </w:pPr>
    <w:rPr>
      <w:rFonts w:ascii="Arial" w:hAnsi="Arial" w:eastAsia="Arial" w:cs="Arial"/>
      <w:sz w:val="24"/>
      <w:szCs w:val="24"/>
      <w:u w:val="single"/>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hanging="0" w:start="432"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before="240" w:after="0"/>
      <w:ind w:firstLine="720" w:start="0" w:end="0"/>
    </w:pPr>
    <w:rPr>
      <w:rFonts w:ascii="Arial" w:hAnsi="Arial" w:eastAsia="Arial" w:cs="Arial"/>
      <w:sz w:val="24"/>
      <w:szCs w:val="24"/>
    </w:rPr>
  </w:style>
  <w:style w:type="paragraph" w:styleId="BodyTextIndent2">
    <w:name w:val="Body Text Indent 2"/>
    <w:basedOn w:val="Normal"/>
    <w:qFormat/>
    <w:pPr>
      <w:widowControl/>
      <w:tabs>
        <w:tab w:val="clear" w:pos="360"/>
        <w:tab w:val="left" w:pos="720" w:leader="none"/>
      </w:tabs>
      <w:spacing w:before="0" w:after="120"/>
      <w:ind w:hanging="360" w:start="1080" w:end="0"/>
    </w:pPr>
    <w:rPr/>
  </w:style>
  <w:style w:type="paragraph" w:styleId="BodyTextIndent3">
    <w:name w:val="Body Text Indent 3"/>
    <w:basedOn w:val="Normal"/>
    <w:qFormat/>
    <w:pPr>
      <w:widowControl/>
      <w:tabs>
        <w:tab w:val="clear" w:pos="360"/>
        <w:tab w:val="left" w:pos="720" w:leader="none"/>
      </w:tabs>
      <w:spacing w:before="0" w:after="120"/>
      <w:ind w:hanging="360" w:start="1440" w:end="0"/>
    </w:pPr>
    <w:rPr/>
  </w:style>
  <w:style w:type="paragraph" w:styleId="Bullet3">
    <w:name w:val="Bullet 3"/>
    <w:basedOn w:val="Normal"/>
    <w:qFormat/>
    <w:pPr>
      <w:widowControl/>
      <w:spacing w:before="60" w:after="0"/>
      <w:ind w:hanging="720" w:start="1440" w:end="0"/>
    </w:pPr>
    <w:rPr>
      <w:sz w:val="24"/>
      <w:szCs w:val="24"/>
    </w:rPr>
  </w:style>
  <w:style w:type="paragraph" w:styleId="Bullet4">
    <w:name w:val="Bullet 4"/>
    <w:basedOn w:val="Normal"/>
    <w:qFormat/>
    <w:pPr>
      <w:widowControl/>
      <w:spacing w:before="60" w:after="0"/>
      <w:ind w:hanging="936" w:start="2016" w:end="0"/>
    </w:pPr>
    <w:rPr>
      <w:sz w:val="24"/>
      <w:szCs w:val="24"/>
    </w:rPr>
  </w:style>
  <w:style w:type="paragraph" w:styleId="BodyTextContinued">
    <w:name w:val="Body Text Continued"/>
    <w:basedOn w:val="BodyText"/>
    <w:next w:val="BodyText"/>
    <w:qFormat/>
    <w:pPr>
      <w:spacing w:before="0" w:after="240"/>
      <w:ind w:hanging="0" w:start="0" w:end="0"/>
    </w:pPr>
    <w:rPr/>
  </w:style>
  <w:style w:type="paragraph" w:styleId="Bullet2">
    <w:name w:val="Bullet 2"/>
    <w:basedOn w:val="Normal"/>
    <w:qFormat/>
    <w:pPr>
      <w:widowControl/>
      <w:spacing w:before="120" w:after="0"/>
      <w:ind w:hanging="576" w:start="936" w:end="0"/>
    </w:pPr>
    <w:rPr>
      <w:sz w:val="24"/>
      <w:szCs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tabs>
        <w:tab w:val="clear" w:pos="360"/>
        <w:tab w:val="center" w:pos="4320" w:leader="none"/>
        <w:tab w:val="right" w:pos="8640" w:leader="none"/>
      </w:tabs>
    </w:pPr>
    <w:rPr/>
  </w:style>
  <w:style w:type="paragraph" w:styleId="PlainText">
    <w:name w:val="Plain Text"/>
    <w:basedOn w:val="Normal"/>
    <w:qFormat/>
    <w:pPr>
      <w:widowControl/>
    </w:pPr>
    <w:rPr>
      <w:rFonts w:ascii="Courier New" w:hAnsi="Courier New" w:eastAsia="Courier New" w:cs="Courier New"/>
    </w:rPr>
  </w:style>
  <w:style w:type="paragraph" w:styleId="BodyText3">
    <w:name w:val="Body Text 3"/>
    <w:basedOn w:val="Normal"/>
    <w:qFormat/>
    <w:pPr/>
    <w:rPr>
      <w:rFonts w:ascii="Arial" w:hAnsi="Arial" w:eastAsia="Arial" w:cs="Arial"/>
      <w:sz w:val="24"/>
      <w:szCs w:val="24"/>
      <w:u w:val="single"/>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eastAsia="Tahoma" w:cs="Tahoma"/>
    </w:rPr>
  </w:style>
  <w:style w:type="paragraph" w:styleId="Footer">
    <w:name w:val="footer"/>
    <w:basedOn w:val="Normal"/>
    <w:pPr>
      <w:widowControl/>
      <w:tabs>
        <w:tab w:val="clear" w:pos="360"/>
        <w:tab w:val="center" w:pos="4320" w:leader="none"/>
        <w:tab w:val="right" w:pos="8640" w:leader="none"/>
      </w:tabs>
    </w:pPr>
    <w:rPr>
      <w:rFonts w:ascii="Arial" w:hAnsi="Arial" w:eastAsia="Arial" w:cs="Arial"/>
      <w:sz w:val="24"/>
      <w:szCs w:val="24"/>
    </w:rPr>
  </w:style>
  <w:style w:type="paragraph" w:styleId="Subtitle">
    <w:name w:val="Subtitle"/>
    <w:basedOn w:val="Normal"/>
    <w:next w:val="BodyText"/>
    <w:qFormat/>
    <w:pPr>
      <w:widowControl/>
    </w:pPr>
    <w:rPr>
      <w:sz w:val="24"/>
      <w:szCs w:val="24"/>
    </w:rPr>
  </w:style>
  <w:style w:type="paragraph" w:styleId="WW-BodyText2">
    <w:name w:val="WW-Body Text 2"/>
    <w:basedOn w:val="Normal"/>
    <w:qFormat/>
    <w:pPr>
      <w:spacing w:lineRule="auto" w:line="360" w:before="0" w:after="120"/>
      <w:ind w:hanging="0" w:start="540" w:end="0"/>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2000-05-03T14:15:00Z</dcterms:created>
  <dc:creator>So Cal Gas Co</dc:creator>
  <dc:description/>
  <dc:language>en-CA</dc:language>
  <cp:lastModifiedBy>Joyce Garza</cp:lastModifiedBy>
  <cp:lastPrinted>2000-05-03T14:00:00Z</cp:lastPrinted>
  <dcterms:modified xsi:type="dcterms:W3CDTF">2000-05-03T18:30:00Z</dcterms:modified>
  <cp:revision>32</cp:revision>
  <dc:subject/>
  <dc:title>Summary of Promising Options (Policy Testimony Overview of Potential Costs and Benefits</dc:title>
</cp:coreProperties>
</file>