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bidi w:val="0"/>
        <w:spacing w:lineRule="auto" w:line="360"/>
        <w:jc w:val="start"/>
        <w:rPr>
          <w:rFonts w:ascii="Arial" w:hAnsi="Arial"/>
          <w:b/>
          <w:sz w:val="28"/>
        </w:rPr>
      </w:pPr>
      <w:r>
        <w:rPr>
          <w:rFonts w:ascii="Arial" w:hAnsi="Arial"/>
          <w:b/>
          <w:sz w:val="28"/>
        </w:rPr>
      </w:r>
    </w:p>
    <w:p>
      <w:pPr>
        <w:pStyle w:val="PlainText"/>
        <w:bidi w:val="0"/>
        <w:spacing w:lineRule="auto" w:line="360"/>
        <w:jc w:val="start"/>
        <w:rPr>
          <w:rFonts w:ascii="Arial" w:hAnsi="Arial"/>
          <w:b/>
          <w:sz w:val="28"/>
        </w:rPr>
      </w:pPr>
      <w:r>
        <w:rPr>
          <w:rFonts w:ascii="Arial" w:hAnsi="Arial"/>
          <w:b/>
          <w:sz w:val="28"/>
        </w:rPr>
      </w:r>
    </w:p>
    <w:p>
      <w:pPr>
        <w:pStyle w:val="PlainText"/>
        <w:bidi w:val="0"/>
        <w:spacing w:lineRule="auto" w:line="360"/>
        <w:jc w:val="start"/>
        <w:rPr>
          <w:rFonts w:ascii="Arial" w:hAnsi="Arial"/>
          <w:b/>
          <w:sz w:val="28"/>
        </w:rPr>
      </w:pPr>
      <w:r>
        <w:rPr>
          <w:rFonts w:ascii="Arial" w:hAnsi="Arial"/>
          <w:b/>
          <w:sz w:val="28"/>
        </w:rPr>
        <w:t>I.      Introduction</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I am the director of Revenue Management Services for Southern California Gas Company ("SoCalGas") and sponsoring the portion of the April 17, 2000 Comprehensive Settlement Agreement (“Settlement Agreement”) relating to retail natural gas issues in the California Public Utilities Commission’s    (“Commission”) Order Instituting Investigation (OII.99-07-003).    I was personally involved in the negotiations involving retail issues in the Settlement Agreement between SoCalGas, San Diego Gas and Electric Company (“SDG&amp;E”) and many other parties.</w:t>
      </w:r>
      <w:r>
        <w:rPr>
          <w:rStyle w:val="FootnoteReference"/>
          <w:rFonts w:ascii="Arial" w:hAnsi="Arial"/>
        </w:rPr>
        <w:footnoteReference w:id="2"/>
      </w:r>
      <w:r>
        <w:rPr>
          <w:rFonts w:ascii="Arial" w:hAnsi="Arial"/>
          <w:sz w:val="24"/>
        </w:rPr>
        <w:t xml:space="preserve">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 xml:space="preserve">In Decision D.99-07-015, the Commission identified a number of most promising options for continued restructuring of the California natural gas industry.    The purpose of my testimony is to show that this Settlement Agreement successfully addresses each of the Most Promising Options, and resolves all SoCalGas and SDG&amp;E retail issues described in D.99-07-015 that would otherwise have been litigated in OII.99-07-003.    Further, the retail issues are resolved in a manner that creates substantial net benefits for the residential and small business natural gas consumers in the SoCalGas and SDG&amp;E service areas.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The Settlement Parties devoted substantial time and energy to developing the Settlement Agreement within the time frame provided by the Commission.    The Settlement Agreement is noteworthy in that it provides consensus and compromise on a wide array of retail issues among entities with differing agendas and desired outcomes for the further restructuring of the natural gas industry in California.    Viewed in conjunction with additional operational flexibility made available for marketers under the agreed-upon capacity and storage unbundling provisions sponsored by other witnesses, it promotes new and more expansive competitive opportunities in retail markets for all core customers and furthers the Commission’s goal of maximizing statewide consistency in energy markets. The Settlement Agreement reflects a balancing of the interests of all parties and creates value for all residential and small gas usage customers in the following ways: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 xml:space="preserve">Viewed in conjunction with the core capacity unbundling provisions sponsored by other witnesses, it results in an approximately $x.x MM </w:t>
      </w:r>
      <w:r>
        <w:rPr>
          <w:rFonts w:ascii="Arial" w:hAnsi="Arial"/>
          <w:i/>
          <w:sz w:val="24"/>
        </w:rPr>
        <w:t>(Gillian Wright to supply)</w:t>
      </w:r>
      <w:r>
        <w:rPr>
          <w:rFonts w:ascii="Arial" w:hAnsi="Arial"/>
          <w:sz w:val="24"/>
        </w:rPr>
        <w:t xml:space="preserve"> revenue requirement decrease for core customers that remain utility procurement customers.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It creates an environment that enhances opportunities for third parties to offer higher value and/or lower cost commodity services to natural gas consumers, thereby increasing the benefits of competition for core customers.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It enhances the benefits of energy industry restructuring by striving for consistency with recently adopted electric industry practices, thereby reducing customer confusion and potentially reducing administrative costs of energy suppliers.    This is expected to increase the number of competitors as well as downward competitive pressures on retail prices to the benefit of all southern California small energy consumers.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It also encourages and enables competition for residential and small usage customers by substantially reducing transaction costs incurred in    serving small usage customers by automating the customer choice process.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It preserves the low costs currently enjoyed by natural gas consumers.</w:t>
      </w:r>
    </w:p>
    <w:p>
      <w:pPr>
        <w:pStyle w:val="PlainText"/>
        <w:numPr>
          <w:ilvl w:val="0"/>
          <w:numId w:val="1"/>
        </w:numPr>
        <w:tabs>
          <w:tab w:val="clear" w:pos="360"/>
          <w:tab w:val="left" w:pos="720" w:leader="none"/>
        </w:tabs>
        <w:bidi w:val="0"/>
        <w:spacing w:before="240" w:after="0"/>
        <w:jc w:val="start"/>
        <w:rPr>
          <w:rFonts w:ascii="Arial" w:hAnsi="Arial"/>
          <w:sz w:val="24"/>
        </w:rPr>
      </w:pPr>
      <w:r>
        <w:rPr>
          <w:rFonts w:ascii="Arial" w:hAnsi="Arial"/>
          <w:sz w:val="24"/>
        </w:rPr>
        <w:t xml:space="preserve">It maintains the same high level of safe service that consumers rely upon. </w:t>
      </w:r>
    </w:p>
    <w:p>
      <w:pPr>
        <w:pStyle w:val="PlainText"/>
        <w:numPr>
          <w:ilvl w:val="0"/>
          <w:numId w:val="4"/>
        </w:numPr>
        <w:tabs>
          <w:tab w:val="clear" w:pos="360"/>
          <w:tab w:val="left" w:pos="720" w:leader="none"/>
        </w:tabs>
        <w:bidi w:val="0"/>
        <w:spacing w:before="240" w:after="0"/>
        <w:ind w:hanging="360" w:start="720"/>
        <w:jc w:val="start"/>
        <w:rPr>
          <w:rFonts w:ascii="Arial" w:hAnsi="Arial"/>
          <w:sz w:val="24"/>
        </w:rPr>
      </w:pPr>
      <w:r>
        <w:rPr>
          <w:rFonts w:ascii="Arial" w:hAnsi="Arial"/>
          <w:sz w:val="24"/>
        </w:rPr>
        <w:t xml:space="preserve">It addresses each of the CPUC’s most promising options. </w:t>
      </w:r>
    </w:p>
    <w:p>
      <w:pPr>
        <w:pStyle w:val="PlainText"/>
        <w:bidi w:val="0"/>
        <w:spacing w:before="120" w:after="0"/>
        <w:jc w:val="start"/>
        <w:rPr>
          <w:rFonts w:ascii="Arial" w:hAnsi="Arial"/>
          <w:sz w:val="24"/>
        </w:rPr>
      </w:pPr>
      <w:r>
        <w:rPr>
          <w:rFonts w:ascii="Arial" w:hAnsi="Arial"/>
          <w:sz w:val="24"/>
        </w:rPr>
      </w:r>
    </w:p>
    <w:p>
      <w:pPr>
        <w:pStyle w:val="PlainText"/>
        <w:bidi w:val="0"/>
        <w:spacing w:before="120" w:after="0"/>
        <w:jc w:val="start"/>
        <w:rPr>
          <w:rFonts w:ascii="Arial" w:hAnsi="Arial"/>
          <w:sz w:val="24"/>
        </w:rPr>
      </w:pPr>
      <w:r>
        <w:rPr>
          <w:rFonts w:ascii="Arial" w:hAnsi="Arial"/>
          <w:sz w:val="24"/>
        </w:rPr>
      </w:r>
    </w:p>
    <w:p>
      <w:pPr>
        <w:pStyle w:val="PlainText"/>
        <w:bidi w:val="0"/>
        <w:spacing w:lineRule="auto" w:line="360"/>
        <w:jc w:val="start"/>
        <w:rPr>
          <w:rFonts w:ascii="Arial" w:hAnsi="Arial"/>
          <w:b/>
          <w:sz w:val="28"/>
        </w:rPr>
      </w:pPr>
      <w:r>
        <w:rPr>
          <w:rFonts w:ascii="Arial" w:hAnsi="Arial"/>
          <w:b/>
          <w:sz w:val="28"/>
        </w:rPr>
        <w:t xml:space="preserve">II.      Promising Options Addressed </w:t>
      </w:r>
    </w:p>
    <w:p>
      <w:pPr>
        <w:pStyle w:val="PlainText"/>
        <w:bidi w:val="0"/>
        <w:spacing w:lineRule="auto" w:line="360"/>
        <w:ind w:firstLine="720"/>
        <w:jc w:val="start"/>
        <w:rPr>
          <w:rFonts w:ascii="Arial" w:hAnsi="Arial"/>
          <w:b/>
          <w:sz w:val="24"/>
        </w:rPr>
      </w:pPr>
      <w:r>
        <w:rPr>
          <w:rFonts w:ascii="Arial" w:hAnsi="Arial"/>
          <w:b/>
          <w:sz w:val="24"/>
        </w:rPr>
        <w:tab/>
      </w:r>
    </w:p>
    <w:p>
      <w:pPr>
        <w:pStyle w:val="PlainText"/>
        <w:bidi w:val="0"/>
        <w:spacing w:lineRule="auto" w:line="360"/>
        <w:ind w:firstLine="720"/>
        <w:jc w:val="start"/>
        <w:rPr>
          <w:rFonts w:ascii="Arial" w:hAnsi="Arial"/>
          <w:sz w:val="24"/>
        </w:rPr>
      </w:pPr>
      <w:r>
        <w:rPr>
          <w:rFonts w:ascii="Arial" w:hAnsi="Arial"/>
          <w:sz w:val="24"/>
        </w:rPr>
        <w:t xml:space="preserve">In this proceeding that began over two years ago, the Commission hoped “to adopt reforms that emphasize market-oriented policies in the hopes of creating benefits for all California natural gas consumers.”(OII.99-07-003)    After taking extensive testimony on an array of options and proposals for restructuring the gas industry in California, the Commission issued D.99-07-015 in which it proposed options that it thought would “facilitate healthy competition” by “clearing obstacles to the competitive offering of gas commodity, transmission, storage, balancing, and other services for all customers.”    The specific promising options related to the retail issues as found in the Commission’s Decision include the following findings: </w:t>
      </w:r>
    </w:p>
    <w:p>
      <w:pPr>
        <w:pStyle w:val="PlainText"/>
        <w:bidi w:val="0"/>
        <w:spacing w:lineRule="auto" w:line="360"/>
        <w:ind w:firstLine="720"/>
        <w:jc w:val="start"/>
        <w:rPr>
          <w:rFonts w:ascii="Arial" w:hAnsi="Arial"/>
          <w:sz w:val="24"/>
        </w:rPr>
      </w:pPr>
      <w:r>
        <w:rPr>
          <w:rFonts w:ascii="Arial" w:hAnsi="Arial"/>
          <w:sz w:val="24"/>
        </w:rPr>
      </w:r>
    </w:p>
    <w:p>
      <w:pPr>
        <w:pStyle w:val="BodyTextContinued"/>
        <w:numPr>
          <w:ilvl w:val="0"/>
          <w:numId w:val="2"/>
        </w:numPr>
        <w:tabs>
          <w:tab w:val="left" w:pos="360" w:leader="none"/>
        </w:tabs>
        <w:bidi w:val="0"/>
        <w:spacing w:before="0" w:after="240"/>
        <w:jc w:val="start"/>
        <w:rPr>
          <w:rFonts w:ascii="Arial" w:hAnsi="Arial"/>
          <w:i/>
          <w:i/>
        </w:rPr>
      </w:pPr>
      <w:r>
        <w:rPr>
          <w:rFonts w:ascii="Arial" w:hAnsi="Arial"/>
        </w:rPr>
        <w:t xml:space="preserve">The lifting of the core aggregation participation cap will expand the competitive options available to residential and small commercial customers.      </w:t>
      </w:r>
      <w:r>
        <w:rPr>
          <w:rFonts w:ascii="Arial" w:hAnsi="Arial"/>
          <w:i/>
        </w:rPr>
        <w:t>(D.99-07-015, p. 49, FoF 30)</w:t>
      </w:r>
    </w:p>
    <w:p>
      <w:pPr>
        <w:pStyle w:val="Bullet3"/>
        <w:numPr>
          <w:ilvl w:val="0"/>
          <w:numId w:val="2"/>
        </w:numPr>
        <w:tabs>
          <w:tab w:val="left" w:pos="360" w:leader="none"/>
        </w:tabs>
        <w:bidi w:val="0"/>
        <w:jc w:val="start"/>
        <w:rPr>
          <w:rFonts w:ascii="Arial" w:hAnsi="Arial"/>
          <w:i/>
          <w:i/>
        </w:rPr>
      </w:pPr>
      <w:r>
        <w:rPr>
          <w:rFonts w:ascii="Arial" w:hAnsi="Arial"/>
          <w:color w:val="000000"/>
        </w:rPr>
        <w:t xml:space="preserve">Customer access to real-time consumption data is consistent with its goals of increased market efficiency and providing competitive tools.    </w:t>
      </w:r>
      <w:r>
        <w:rPr>
          <w:rFonts w:ascii="Arial" w:hAnsi="Arial"/>
          <w:i/>
          <w:color w:val="000000"/>
        </w:rPr>
        <w:t xml:space="preserve">(D.99-07-015, pp. 72-73, FoF    36, CoL 15) </w:t>
      </w:r>
    </w:p>
    <w:p>
      <w:pPr>
        <w:pStyle w:val="BodyText"/>
        <w:bidi w:val="0"/>
        <w:jc w:val="start"/>
        <w:rPr>
          <w:rFonts w:ascii="Times New Roman" w:hAnsi="Times New Roman"/>
        </w:rPr>
      </w:pPr>
      <w:r>
        <w:rPr/>
      </w:r>
    </w:p>
    <w:p>
      <w:pPr>
        <w:pStyle w:val="Bullet3"/>
        <w:keepLines/>
        <w:numPr>
          <w:ilvl w:val="0"/>
          <w:numId w:val="2"/>
        </w:numPr>
        <w:tabs>
          <w:tab w:val="left" w:pos="360" w:leader="none"/>
        </w:tabs>
        <w:bidi w:val="0"/>
        <w:jc w:val="start"/>
        <w:rPr>
          <w:rFonts w:ascii="Arial" w:hAnsi="Arial"/>
          <w:i/>
          <w:i/>
          <w:color w:val="000000"/>
        </w:rPr>
      </w:pPr>
      <w:r>
        <w:rPr>
          <w:rFonts w:ascii="Arial" w:hAnsi="Arial"/>
          <w:color w:val="000000"/>
        </w:rPr>
        <w:t xml:space="preserve">The appropriateness of natural gas utilities providing billing options similar to those currently offered on the electric side.    </w:t>
      </w:r>
      <w:r>
        <w:rPr>
          <w:rFonts w:ascii="Arial" w:hAnsi="Arial"/>
          <w:i/>
          <w:color w:val="000000"/>
        </w:rPr>
        <w:t>(D.99-07-015, CoL 19)</w:t>
      </w:r>
    </w:p>
    <w:p>
      <w:pPr>
        <w:pStyle w:val="Bullet3"/>
        <w:keepLines/>
        <w:bidi w:val="0"/>
        <w:ind w:hanging="0" w:start="0"/>
        <w:jc w:val="start"/>
        <w:rPr>
          <w:rFonts w:ascii="Arial" w:hAnsi="Arial"/>
          <w:i/>
          <w:i/>
          <w:color w:val="000000"/>
        </w:rPr>
      </w:pPr>
      <w:r>
        <w:rPr>
          <w:rFonts w:ascii="Arial" w:hAnsi="Arial"/>
          <w:i/>
          <w:color w:val="000000"/>
        </w:rPr>
      </w:r>
    </w:p>
    <w:p>
      <w:pPr>
        <w:pStyle w:val="Bullet3"/>
        <w:keepLines/>
        <w:numPr>
          <w:ilvl w:val="0"/>
          <w:numId w:val="2"/>
        </w:numPr>
        <w:tabs>
          <w:tab w:val="left" w:pos="360" w:leader="none"/>
        </w:tabs>
        <w:bidi w:val="0"/>
        <w:jc w:val="start"/>
        <w:rPr>
          <w:rFonts w:ascii="Arial" w:hAnsi="Arial"/>
          <w:i/>
          <w:i/>
          <w:color w:val="000000"/>
        </w:rPr>
      </w:pPr>
      <w:r>
        <w:rPr>
          <w:rFonts w:ascii="Arial" w:hAnsi="Arial"/>
          <w:color w:val="000000"/>
        </w:rPr>
        <w:t xml:space="preserve">Competing gas and electric providers should be able to choose to provide a consolidated bill for gas and electricity so that the customers of such providers will not face duplicative charges for the billing function. </w:t>
      </w:r>
      <w:r>
        <w:rPr>
          <w:rFonts w:ascii="Arial" w:hAnsi="Arial"/>
          <w:i/>
          <w:color w:val="000000"/>
        </w:rPr>
        <w:t>(D.99-07-015, FoF 43)</w:t>
      </w:r>
      <w:r>
        <w:rPr>
          <w:rFonts w:ascii="Arial" w:hAnsi="Arial"/>
          <w:color w:val="000000"/>
        </w:rPr>
        <w:t xml:space="preserve"> </w:t>
      </w:r>
    </w:p>
    <w:p>
      <w:pPr>
        <w:pStyle w:val="PlainText"/>
        <w:bidi w:val="0"/>
        <w:jc w:val="start"/>
        <w:rPr>
          <w:rFonts w:ascii="Arial" w:hAnsi="Arial"/>
          <w:i/>
          <w:i/>
          <w:color w:val="000000"/>
          <w:sz w:val="24"/>
        </w:rPr>
      </w:pPr>
      <w:r>
        <w:rPr>
          <w:rFonts w:ascii="Arial" w:hAnsi="Arial"/>
          <w:i/>
          <w:color w:val="000000"/>
          <w:sz w:val="24"/>
        </w:rPr>
      </w:r>
    </w:p>
    <w:p>
      <w:pPr>
        <w:pStyle w:val="PlainText"/>
        <w:numPr>
          <w:ilvl w:val="0"/>
          <w:numId w:val="2"/>
        </w:numPr>
        <w:tabs>
          <w:tab w:val="left" w:pos="360" w:leader="none"/>
        </w:tabs>
        <w:bidi w:val="0"/>
        <w:jc w:val="start"/>
        <w:rPr>
          <w:rFonts w:ascii="Arial" w:hAnsi="Arial"/>
          <w:i/>
          <w:i/>
          <w:color w:val="000000"/>
          <w:sz w:val="24"/>
        </w:rPr>
      </w:pPr>
      <w:r>
        <w:rPr>
          <w:rFonts w:ascii="Arial" w:hAnsi="Arial"/>
          <w:color w:val="000000"/>
          <w:sz w:val="24"/>
        </w:rPr>
        <w:t xml:space="preserve">Re-examination of local distribution company core procurement and the default provider function is appropriate if market share exceeds 30% of the number of core customers, but even at that point the Commission sees no compelling reason to eliminate local distribution company procurement service as an option for core customers.    </w:t>
      </w:r>
      <w:r>
        <w:rPr>
          <w:rFonts w:ascii="Arial" w:hAnsi="Arial"/>
          <w:i/>
          <w:color w:val="000000"/>
          <w:sz w:val="24"/>
        </w:rPr>
        <w:t>(D.99-07-003, p. 49, FoF 29).</w:t>
      </w:r>
    </w:p>
    <w:p>
      <w:pPr>
        <w:pStyle w:val="PlainText"/>
        <w:bidi w:val="0"/>
        <w:jc w:val="start"/>
        <w:rPr>
          <w:rFonts w:ascii="Arial" w:hAnsi="Arial"/>
          <w:i/>
          <w:i/>
          <w:color w:val="000000"/>
          <w:sz w:val="24"/>
        </w:rPr>
      </w:pPr>
      <w:r>
        <w:rPr>
          <w:rFonts w:ascii="Arial" w:hAnsi="Arial"/>
          <w:i/>
          <w:color w:val="000000"/>
          <w:sz w:val="24"/>
        </w:rPr>
      </w:r>
    </w:p>
    <w:p>
      <w:pPr>
        <w:pStyle w:val="Bullet3"/>
        <w:numPr>
          <w:ilvl w:val="0"/>
          <w:numId w:val="2"/>
        </w:numPr>
        <w:tabs>
          <w:tab w:val="left" w:pos="360" w:leader="none"/>
        </w:tabs>
        <w:bidi w:val="0"/>
        <w:jc w:val="start"/>
        <w:rPr>
          <w:rFonts w:ascii="Arial" w:hAnsi="Arial"/>
          <w:i/>
          <w:i/>
          <w:color w:val="000000"/>
        </w:rPr>
      </w:pPr>
      <w:r>
        <w:rPr>
          <w:rFonts w:ascii="Arial" w:hAnsi="Arial"/>
          <w:color w:val="000000"/>
        </w:rPr>
        <w:t xml:space="preserve">To the extent reasonable as determined in the cost-benefit phase, separate the costs and rates for core utility services including core procurement, transmission, storage, distribution, and balancing, and treating the local distribution company core procurement department as a single customer for operational purposes, subject to the same terms and conditions of service as other customers.      </w:t>
      </w:r>
      <w:r>
        <w:rPr>
          <w:rFonts w:ascii="Arial" w:hAnsi="Arial"/>
          <w:i/>
          <w:color w:val="000000"/>
        </w:rPr>
        <w:t>(D.99-07-015, p. 49, p. 62, p. 86)</w:t>
      </w:r>
    </w:p>
    <w:p>
      <w:pPr>
        <w:pStyle w:val="Bullet3"/>
        <w:bidi w:val="0"/>
        <w:ind w:hanging="0" w:start="0"/>
        <w:jc w:val="start"/>
        <w:rPr>
          <w:rFonts w:ascii="Arial" w:hAnsi="Arial"/>
          <w:i/>
          <w:i/>
          <w:color w:val="000000"/>
        </w:rPr>
      </w:pPr>
      <w:r>
        <w:rPr>
          <w:rFonts w:ascii="Arial" w:hAnsi="Arial"/>
          <w:i/>
          <w:color w:val="000000"/>
        </w:rPr>
      </w:r>
    </w:p>
    <w:p>
      <w:pPr>
        <w:pStyle w:val="Bullet3"/>
        <w:numPr>
          <w:ilvl w:val="0"/>
          <w:numId w:val="2"/>
        </w:numPr>
        <w:tabs>
          <w:tab w:val="left" w:pos="360" w:leader="none"/>
        </w:tabs>
        <w:bidi w:val="0"/>
        <w:jc w:val="start"/>
        <w:rPr>
          <w:rFonts w:ascii="Arial" w:hAnsi="Arial"/>
          <w:i/>
          <w:i/>
          <w:color w:val="000000"/>
        </w:rPr>
      </w:pPr>
      <w:r>
        <w:rPr>
          <w:rFonts w:ascii="Arial" w:hAnsi="Arial"/>
          <w:color w:val="000000"/>
        </w:rPr>
        <w:t xml:space="preserve">Elimination of core subscription service.    Any noncore customer who prefers to continue procurement from the utility after elimination of core subscription should take and pay for core transportation service as well as core gas supply service.    SDG&amp;E should not be required to exit its noncore procurement services.    </w:t>
      </w:r>
      <w:r>
        <w:rPr>
          <w:rFonts w:ascii="Arial" w:hAnsi="Arial"/>
          <w:i/>
          <w:color w:val="000000"/>
        </w:rPr>
        <w:t>(D.99-07-015, p.49, pp.63-64, CoL 12)</w:t>
      </w:r>
    </w:p>
    <w:p>
      <w:pPr>
        <w:pStyle w:val="Bullet3"/>
        <w:bidi w:val="0"/>
        <w:ind w:hanging="0" w:start="0"/>
        <w:jc w:val="start"/>
        <w:rPr>
          <w:rFonts w:ascii="Arial" w:hAnsi="Arial"/>
          <w:i/>
          <w:i/>
          <w:color w:val="000000"/>
        </w:rPr>
      </w:pPr>
      <w:r>
        <w:rPr>
          <w:rFonts w:ascii="Arial" w:hAnsi="Arial"/>
          <w:i/>
          <w:color w:val="000000"/>
        </w:rPr>
      </w:r>
    </w:p>
    <w:p>
      <w:pPr>
        <w:pStyle w:val="PlainText"/>
        <w:numPr>
          <w:ilvl w:val="0"/>
          <w:numId w:val="2"/>
        </w:numPr>
        <w:tabs>
          <w:tab w:val="left" w:pos="360" w:leader="none"/>
        </w:tabs>
        <w:bidi w:val="0"/>
        <w:jc w:val="start"/>
        <w:rPr>
          <w:rFonts w:ascii="Arial" w:hAnsi="Arial"/>
          <w:color w:val="000000"/>
          <w:sz w:val="24"/>
        </w:rPr>
      </w:pPr>
      <w:r>
        <w:rPr>
          <w:rFonts w:ascii="Arial" w:hAnsi="Arial"/>
          <w:color w:val="000000"/>
          <w:sz w:val="24"/>
        </w:rPr>
        <w:t>The elimination of the core aggregation threshold will expand the competitive options available to residential and small commercial customers.      (D.99-07-015, p. 49, FoF 30)</w:t>
      </w:r>
    </w:p>
    <w:p>
      <w:pPr>
        <w:pStyle w:val="PlainText"/>
        <w:bidi w:val="0"/>
        <w:jc w:val="start"/>
        <w:rPr>
          <w:rFonts w:ascii="Arial" w:hAnsi="Arial"/>
          <w:i/>
          <w:i/>
          <w:color w:val="000000"/>
          <w:sz w:val="24"/>
        </w:rPr>
      </w:pPr>
      <w:r>
        <w:rPr>
          <w:rFonts w:ascii="Arial" w:hAnsi="Arial"/>
          <w:i/>
          <w:color w:val="000000"/>
          <w:sz w:val="24"/>
        </w:rPr>
      </w:r>
    </w:p>
    <w:p>
      <w:pPr>
        <w:pStyle w:val="PlainText"/>
        <w:bidi w:val="0"/>
        <w:jc w:val="start"/>
        <w:rPr>
          <w:rFonts w:ascii="Arial" w:hAnsi="Arial"/>
          <w:sz w:val="24"/>
        </w:rPr>
      </w:pPr>
      <w:r>
        <w:rPr>
          <w:rFonts w:ascii="Arial" w:hAnsi="Arial"/>
          <w:sz w:val="24"/>
        </w:rPr>
      </w:r>
    </w:p>
    <w:p>
      <w:pPr>
        <w:pStyle w:val="PlainText"/>
        <w:numPr>
          <w:ilvl w:val="0"/>
          <w:numId w:val="2"/>
        </w:numPr>
        <w:tabs>
          <w:tab w:val="left" w:pos="360" w:leader="none"/>
        </w:tabs>
        <w:bidi w:val="0"/>
        <w:jc w:val="start"/>
        <w:rPr>
          <w:rFonts w:ascii="Arial" w:hAnsi="Arial"/>
          <w:i/>
          <w:i/>
          <w:color w:val="000000"/>
          <w:sz w:val="24"/>
        </w:rPr>
      </w:pPr>
      <w:r>
        <w:rPr>
          <w:rFonts w:ascii="Arial" w:hAnsi="Arial"/>
          <w:color w:val="000000"/>
          <w:sz w:val="24"/>
        </w:rPr>
        <w:t xml:space="preserve">The competitive provision of meters is consistent with the objective of removing unnecessary barriers to entry into various components of the natural gas service market.    The competitive provision of meters is appropriate as long as safety standards are in place and standardized information protocols are utilized.    </w:t>
      </w:r>
      <w:r>
        <w:rPr>
          <w:rFonts w:ascii="Arial" w:hAnsi="Arial"/>
          <w:i/>
          <w:color w:val="000000"/>
          <w:sz w:val="24"/>
        </w:rPr>
        <w:t>(D.99-07-015, pp. 84-85, CoL 16)</w:t>
      </w:r>
    </w:p>
    <w:p>
      <w:pPr>
        <w:pStyle w:val="PlainText"/>
        <w:bidi w:val="0"/>
        <w:jc w:val="start"/>
        <w:rPr>
          <w:rFonts w:ascii="Arial" w:hAnsi="Arial"/>
          <w:i/>
          <w:i/>
          <w:color w:val="000000"/>
          <w:sz w:val="24"/>
        </w:rPr>
      </w:pPr>
      <w:r>
        <w:rPr>
          <w:rFonts w:ascii="Arial" w:hAnsi="Arial"/>
          <w:i/>
          <w:color w:val="000000"/>
          <w:sz w:val="24"/>
        </w:rPr>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jc w:val="start"/>
        <w:rPr>
          <w:rFonts w:ascii="Arial" w:hAnsi="Arial"/>
          <w:sz w:val="24"/>
        </w:rPr>
      </w:pPr>
      <w:r>
        <w:rPr>
          <w:rFonts w:ascii="Arial" w:hAnsi="Arial"/>
          <w:sz w:val="24"/>
        </w:rPr>
        <w:t>This Settlement Agreement was designed to address and provide beneficial resolution of the Commission’s identified most promising options, and in doing so, to provide benefits to all southern California gas consumers.    For some of the above options where the benefits are uncertain, pilot programs or further exploration with the parties is proposed.    Where the benefits clearly exceed the costs, the Settlement Agreement implements the promising options in a manner acceptable to parties representing customers, retailers, and the utilities.</w:t>
      </w:r>
    </w:p>
    <w:p>
      <w:pPr>
        <w:pStyle w:val="PlainText"/>
        <w:bidi w:val="0"/>
        <w:spacing w:lineRule="auto" w:line="360"/>
        <w:jc w:val="start"/>
        <w:rPr>
          <w:rFonts w:ascii="Arial" w:hAnsi="Arial"/>
          <w:sz w:val="24"/>
        </w:rPr>
      </w:pPr>
      <w:r>
        <w:rPr>
          <w:rFonts w:ascii="Arial" w:hAnsi="Arial"/>
          <w:sz w:val="24"/>
        </w:rPr>
      </w:r>
    </w:p>
    <w:p>
      <w:pPr>
        <w:pStyle w:val="PlainText"/>
        <w:bidi w:val="0"/>
        <w:spacing w:lineRule="auto" w:line="360"/>
        <w:jc w:val="start"/>
        <w:rPr>
          <w:rFonts w:ascii="Arial" w:hAnsi="Arial"/>
          <w:sz w:val="24"/>
        </w:rPr>
      </w:pPr>
      <w:r>
        <w:rPr>
          <w:rFonts w:ascii="Arial" w:hAnsi="Arial"/>
          <w:sz w:val="24"/>
        </w:rPr>
      </w:r>
    </w:p>
    <w:p>
      <w:pPr>
        <w:pStyle w:val="PlainText"/>
        <w:bidi w:val="0"/>
        <w:spacing w:lineRule="auto" w:line="360"/>
        <w:jc w:val="start"/>
        <w:rPr>
          <w:rFonts w:ascii="Arial" w:hAnsi="Arial"/>
          <w:b/>
          <w:sz w:val="28"/>
        </w:rPr>
      </w:pPr>
      <w:r>
        <w:rPr>
          <w:rFonts w:ascii="Arial" w:hAnsi="Arial"/>
          <w:b/>
          <w:sz w:val="28"/>
        </w:rPr>
        <w:t>III.      Benefits and Costs of the Retail Issues</w:t>
      </w:r>
    </w:p>
    <w:p>
      <w:pPr>
        <w:pStyle w:val="PlainText"/>
        <w:bidi w:val="0"/>
        <w:spacing w:lineRule="auto" w:line="36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The retail issues that have been resolved as part of the Settlement Agreement accomplishes the Commission’s goal in a number of ways, including providing for additional upstream flexibility for marketers in arranging their supply, delivery, storage and balancing requirements, making available interstate capacity at market-based rates for customers of core transportation agents (CTAs), hereafter referred to as energy service providers (ESPs), and providing for agreed-upon credits for customers that take certain services from ESPs instead of the utility.</w:t>
      </w:r>
      <w:r>
        <w:rPr>
          <w:rStyle w:val="FootnoteReference"/>
          <w:rFonts w:ascii="Arial" w:hAnsi="Arial"/>
        </w:rPr>
        <w:footnoteReference w:id="3"/>
      </w:r>
      <w:r>
        <w:rPr>
          <w:rFonts w:ascii="Arial" w:hAnsi="Arial"/>
          <w:sz w:val="24"/>
        </w:rPr>
        <w:t xml:space="preserve">      The Settlement Agreement is the only settlement introduced in this proceeding that comprehensively addresses retail issues and, therefore, should be adopted as a whole.    It is the only settlement to address all of the Commission’s most promising options and the only settlement that that has the potential to fully bring the benefits of competition to residential and small gas usage customers. </w:t>
      </w:r>
    </w:p>
    <w:p>
      <w:pPr>
        <w:pStyle w:val="PlainText"/>
        <w:bidi w:val="0"/>
        <w:spacing w:lineRule="auto" w:line="360"/>
        <w:ind w:firstLine="720"/>
        <w:jc w:val="start"/>
        <w:rPr>
          <w:rFonts w:ascii="Arial" w:hAnsi="Arial"/>
          <w:sz w:val="24"/>
        </w:rPr>
      </w:pPr>
      <w:r>
        <w:rPr>
          <w:rFonts w:ascii="Arial" w:hAnsi="Arial"/>
          <w:sz w:val="24"/>
        </w:rPr>
        <w:t xml:space="preserve">      </w:t>
      </w:r>
    </w:p>
    <w:p>
      <w:pPr>
        <w:pStyle w:val="PlainText"/>
        <w:bidi w:val="0"/>
        <w:spacing w:before="0" w:after="120"/>
        <w:ind w:hanging="360" w:start="360"/>
        <w:jc w:val="start"/>
        <w:rPr>
          <w:rFonts w:ascii="Arial" w:hAnsi="Arial"/>
          <w:i/>
          <w:i/>
          <w:sz w:val="24"/>
        </w:rPr>
      </w:pPr>
      <w:r>
        <w:rPr>
          <w:rFonts w:ascii="Arial" w:hAnsi="Arial"/>
          <w:b/>
          <w:i/>
          <w:sz w:val="24"/>
        </w:rPr>
        <w:t>A.      The Settlement Addresses the Need to Make Retail Competition Available to Smaller Customers</w:t>
      </w:r>
      <w:r>
        <w:rPr>
          <w:rFonts w:ascii="Arial" w:hAnsi="Arial"/>
          <w:i/>
          <w:sz w:val="24"/>
        </w:rPr>
        <w:t>.</w:t>
      </w:r>
    </w:p>
    <w:p>
      <w:pPr>
        <w:pStyle w:val="PlainText"/>
        <w:bidi w:val="0"/>
        <w:spacing w:before="0" w:after="120"/>
        <w:jc w:val="start"/>
        <w:rPr>
          <w:rFonts w:ascii="Arial" w:hAnsi="Arial"/>
          <w:i/>
          <w:i/>
          <w:sz w:val="24"/>
        </w:rPr>
      </w:pPr>
      <w:r>
        <w:rPr>
          <w:rFonts w:ascii="Arial" w:hAnsi="Arial"/>
          <w:i/>
          <w:sz w:val="24"/>
        </w:rPr>
      </w:r>
    </w:p>
    <w:p>
      <w:pPr>
        <w:pStyle w:val="PlainText"/>
        <w:bidi w:val="0"/>
        <w:spacing w:lineRule="auto" w:line="360"/>
        <w:ind w:firstLine="720"/>
        <w:jc w:val="start"/>
        <w:rPr>
          <w:rFonts w:ascii="Arial" w:hAnsi="Arial"/>
          <w:sz w:val="24"/>
        </w:rPr>
      </w:pPr>
      <w:r>
        <w:rPr>
          <w:rFonts w:ascii="Arial" w:hAnsi="Arial"/>
          <w:sz w:val="24"/>
        </w:rPr>
        <w:t>In the SoCalGas service area, there is currently one ESP that predominately serves residential customers and 14 ESPs serving core commercial and industrial and master-metered residential accounts.    Currently, in the SDG&amp;E service area, there is one ESP predominately serving gas residential customers and 7 ESPs serving core gas C&amp;I and master-metered residential accounts.    In recognition of this circumstance, a primary goal of the retail settlement has been to make competition work for residential natural gas consumers.</w:t>
      </w:r>
    </w:p>
    <w:p>
      <w:pPr>
        <w:pStyle w:val="PlainText"/>
        <w:bidi w:val="0"/>
        <w:spacing w:lineRule="auto" w:line="360" w:before="240" w:after="0"/>
        <w:ind w:firstLine="720"/>
        <w:jc w:val="start"/>
        <w:rPr>
          <w:rFonts w:ascii="Arial" w:hAnsi="Arial"/>
          <w:sz w:val="24"/>
        </w:rPr>
      </w:pPr>
      <w:r>
        <w:rPr>
          <w:rFonts w:ascii="Arial" w:hAnsi="Arial"/>
          <w:sz w:val="24"/>
        </w:rPr>
        <w:t>SoCalGas and SDG&amp;E expectation is that, as a result of the adoption of the market-oriented policies in the capacity portion of this Settlement Agreement, more ESPs will enter the market and current ESPs will expand operations in California.    But unless the retail issues are addressed expeditiously, as provided for in the Settlement Agreement, it is likely that only the larger core C&amp;I and master-metered residential customers will benefit from retail competition.    The settlement provisions will bring these benefits increasingly to residential consumers in the following ways, at a minimum.</w:t>
      </w:r>
    </w:p>
    <w:p>
      <w:pPr>
        <w:pStyle w:val="PlainText"/>
        <w:bidi w:val="0"/>
        <w:spacing w:lineRule="auto" w:line="36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 xml:space="preserve">First, by lifting the 10 percent </w:t>
      </w:r>
      <w:r>
        <w:rPr>
          <w:rFonts w:ascii="Arial" w:hAnsi="Arial"/>
          <w:i/>
          <w:sz w:val="24"/>
        </w:rPr>
        <w:t>volume</w:t>
      </w:r>
      <w:r>
        <w:rPr>
          <w:rFonts w:ascii="Arial" w:hAnsi="Arial"/>
          <w:sz w:val="24"/>
        </w:rPr>
        <w:t xml:space="preserve"> penetration cap in the CTA program, all core customers will have the opportunity to participate in the Commission-directed changes in the natural gas commodity marketplace.    Otherwise, the cap would likely be reached with fewer than one percent of core customers participating in the CTA program because marketers have focused on higher-volume customers, where margin opportunities are greatest to date.</w:t>
      </w:r>
      <w:r>
        <w:rPr>
          <w:rStyle w:val="FootnoteReference"/>
          <w:rFonts w:ascii="Arial" w:hAnsi="Arial"/>
        </w:rPr>
        <w:footnoteReference w:id="4"/>
      </w:r>
      <w:r>
        <w:rPr>
          <w:rFonts w:ascii="Arial" w:hAnsi="Arial"/>
          <w:sz w:val="24"/>
        </w:rPr>
        <w:t xml:space="preserve">    Removing the cap will allow residential and small use customers the same access to the benefits of customer choice as they have in the electric industry, promoting consistency in customer choice across fuels. </w:t>
      </w:r>
    </w:p>
    <w:p>
      <w:pPr>
        <w:pStyle w:val="PlainText"/>
        <w:bidi w:val="0"/>
        <w:spacing w:lineRule="auto" w:line="360" w:before="240" w:after="0"/>
        <w:ind w:firstLine="720"/>
        <w:jc w:val="start"/>
        <w:rPr>
          <w:rFonts w:ascii="Arial" w:hAnsi="Arial"/>
          <w:sz w:val="24"/>
        </w:rPr>
      </w:pPr>
      <w:r>
        <w:rPr>
          <w:rFonts w:ascii="Arial" w:hAnsi="Arial"/>
          <w:sz w:val="24"/>
        </w:rPr>
        <w:t xml:space="preserve">The small customer segment is one which ESPs have not pursued, for the most part, due to the prospect of transaction costs that can easily overwhelm any savings achieved through the gas procurement activity (D.99-07-015, p. 57).    The benefits of the capacity portion of the Settlement that give marketers additional flexibility to better match transportation, storage and balancing arrangements with the needs of their customers will not reach the residential and small business market segment unless transaction costs can be lowered to reduce barriers to the entry of ESPs.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The retail portion of the Settlement does that in a number of important ways.    For example, by automating the customer choice process, adopting customer-account management rules to match the electric industry, and improving the customer information electronic transfer process to match the electric industry, administrative cost-related barriers for ESPs to serve the residential and small business gas and electric segment are reduced.    Or in establishing utility consolidated billing as an option, ESPs not currently in the California market, and for whom customer billing is not a core competency or for whom the cost of acquiring a customer information system would otherwise be prohibitive, will now be attracted to serve California’s small customer segment.</w:t>
      </w:r>
      <w:r>
        <w:rPr>
          <w:rStyle w:val="FootnoteReference"/>
          <w:rFonts w:ascii="Arial" w:hAnsi="Arial"/>
        </w:rPr>
        <w:footnoteReference w:id="5"/>
      </w:r>
      <w:r>
        <w:rPr>
          <w:rFonts w:ascii="Arial" w:hAnsi="Arial"/>
          <w:sz w:val="24"/>
        </w:rPr>
        <w:t xml:space="preserve"> </w:t>
      </w:r>
    </w:p>
    <w:p>
      <w:pPr>
        <w:pStyle w:val="PlainText"/>
        <w:bidi w:val="0"/>
        <w:spacing w:lineRule="auto" w:line="360"/>
        <w:jc w:val="start"/>
        <w:rPr>
          <w:rFonts w:ascii="Arial" w:hAnsi="Arial"/>
          <w:sz w:val="24"/>
        </w:rPr>
      </w:pPr>
      <w:r>
        <w:rPr>
          <w:rFonts w:ascii="Arial" w:hAnsi="Arial"/>
          <w:sz w:val="24"/>
        </w:rPr>
        <w:t>Or by offering avoided cost billing credits that, when combined with electric credits will total more than $2.30 per month in the overlapping SoCalGas and Southern California Edison service areas and a $1.45 in the SDG&amp;E service area, it is also expected that more ESPs who do provide CTA consolidated billing will be encouraged to serve the residential and small business segment.</w:t>
      </w:r>
    </w:p>
    <w:p>
      <w:pPr>
        <w:pStyle w:val="PlainText"/>
        <w:bidi w:val="0"/>
        <w:spacing w:lineRule="auto" w:line="36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 xml:space="preserve">SoCalGas and SDG&amp;E believe creating better competitive opportunities in core residential markets will benefit these customers, increasing downward competitive pressure on prices and maximizing incentives to offer new higher valued products and services.    For example, customers will be in a position from which they can do comparison shopping for natural gas (and electricity), and marketers will be forced to compete on the basis of price and value to obtain new customers. </w:t>
      </w:r>
    </w:p>
    <w:p>
      <w:pPr>
        <w:pStyle w:val="Normal"/>
        <w:bidi w:val="0"/>
        <w:spacing w:lineRule="auto" w:line="360" w:before="240" w:after="0"/>
        <w:ind w:firstLine="720"/>
        <w:jc w:val="start"/>
        <w:rPr>
          <w:rFonts w:ascii="Arial" w:hAnsi="Arial"/>
          <w:sz w:val="24"/>
        </w:rPr>
      </w:pPr>
      <w:r>
        <w:rPr>
          <w:rFonts w:ascii="Arial" w:hAnsi="Arial"/>
          <w:sz w:val="24"/>
        </w:rPr>
        <w:t>We also expect an increase in the number and variety of products from which customers can choose and new innovative products and services to develop.    Economic analyses of other deregulated industries have found these types of benefits to have substantial economic value to consumers.</w:t>
      </w:r>
      <w:r>
        <w:rPr>
          <w:rStyle w:val="FootnoteReference"/>
          <w:rFonts w:ascii="Arial" w:hAnsi="Arial"/>
        </w:rPr>
        <w:footnoteReference w:id="6"/>
      </w:r>
      <w:r>
        <w:rPr>
          <w:rFonts w:ascii="Arial" w:hAnsi="Arial"/>
          <w:sz w:val="24"/>
        </w:rPr>
        <w:t>    Gas procured by the utility is limited by the Commission to a single monthly price in California, but in the gas commodity markets in other states, there are a myriad of price offers including monthly pricing, quarterly pricing, annual, three year, and even five year fixed prices made available to customers by third parties.</w:t>
      </w:r>
      <w:r>
        <w:rPr>
          <w:rStyle w:val="FootnoteReference"/>
          <w:rFonts w:ascii="Arial" w:hAnsi="Arial"/>
        </w:rPr>
        <w:footnoteReference w:id="7"/>
      </w:r>
      <w:r>
        <w:rPr>
          <w:rFonts w:ascii="Arial" w:hAnsi="Arial"/>
          <w:sz w:val="24"/>
        </w:rPr>
        <w:t>    This Settlement Agreement will increase the ability of ESPs to offer these types of products to residential and small business market segments as they are in other areas of the country and is currently the case for large Commercial and Industrial customers in California.</w:t>
      </w:r>
      <w:r>
        <w:rPr>
          <w:rStyle w:val="FootnoteReference"/>
          <w:rFonts w:ascii="Arial" w:hAnsi="Arial"/>
        </w:rPr>
        <w:footnoteReference w:id="8"/>
      </w:r>
      <w:r>
        <w:rPr>
          <w:rFonts w:ascii="Arial" w:hAnsi="Arial"/>
          <w:sz w:val="24"/>
        </w:rPr>
        <w:t xml:space="preserve"> </w:t>
      </w:r>
    </w:p>
    <w:p>
      <w:pPr>
        <w:pStyle w:val="Normal"/>
        <w:bidi w:val="0"/>
        <w:spacing w:lineRule="auto" w:line="360"/>
        <w:ind w:firstLine="72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 xml:space="preserve">The retail portion of the Settlement Agreement also encourages innovation in California gas markets in other ways.    For example, opportunities are created for trial and error in testing out new methods and technologies that may have large, but currently unknown benefits, such as the meter device add-on program, which will allow new technologies for recording and using customer gas usage data to see if they can provide benefits to customers in energy management that outweigh the substantial costs of changing the traditional way of metering usage.    Discussions about the provision of utility commodity procurement will also consider if there are benefits to consumers of new and innovative alternate utility commodity procurement arrangements.      </w:t>
      </w:r>
    </w:p>
    <w:p>
      <w:pPr>
        <w:pStyle w:val="BodyText2"/>
        <w:widowControl w:val="false"/>
        <w:bidi w:val="0"/>
        <w:spacing w:lineRule="auto" w:line="360" w:before="240" w:after="0"/>
        <w:ind w:firstLine="720"/>
        <w:jc w:val="start"/>
        <w:rPr/>
      </w:pPr>
      <w:r>
        <w:rPr/>
        <w:t>There is also a benefit from competition in providing for a program that allows ESPs to make multiple offerings that match the characteristics of a product or service with consumers’ preferences and willingness to pay.    Some customers may not value seasonal gas in storage protection and are willing to risk winter price spikes in exchange for a potentially lower rate the rest of the year, while others may want the certainty of having a substantial amount of gas in storage to minimize price spikes.    The settlement provisions will provide opportunities for ESPs to provide these and other types of new options to small use customers by reducing the transaction cost hurdle and increasing flexibility available to ESPs to customize their services to respond to customer needs and desires.</w:t>
      </w:r>
    </w:p>
    <w:p>
      <w:pPr>
        <w:pStyle w:val="PlainText"/>
        <w:bidi w:val="0"/>
        <w:spacing w:lineRule="auto" w:line="360" w:before="240" w:after="0"/>
        <w:ind w:firstLine="720"/>
        <w:jc w:val="start"/>
        <w:rPr>
          <w:rFonts w:ascii="Arial" w:hAnsi="Arial"/>
          <w:sz w:val="24"/>
        </w:rPr>
      </w:pPr>
      <w:r>
        <w:rPr>
          <w:rFonts w:ascii="Arial" w:hAnsi="Arial"/>
          <w:sz w:val="24"/>
        </w:rPr>
        <w:t xml:space="preserve">While the changes proposed in the Settlement Agreement related to retail issues clearly provide substantial new and improved benefits for both small core customers and ESPs, they do not individually, or in the aggregate, modify in any fundamental way the existing CTA program through which the public has been provided an alternative to utility commodity procurement for the past nine years.    For example, the Settlement does not alter in any way the right of any customer to take commodity service from either the utility or a qualifying ESP in the CTA program.    </w:t>
      </w:r>
    </w:p>
    <w:p>
      <w:pPr>
        <w:pStyle w:val="PlainText"/>
        <w:bidi w:val="0"/>
        <w:spacing w:lineRule="auto" w:line="360"/>
        <w:jc w:val="start"/>
        <w:rPr>
          <w:rFonts w:ascii="Arial" w:hAnsi="Arial"/>
          <w:b/>
          <w:sz w:val="24"/>
        </w:rPr>
      </w:pPr>
      <w:r>
        <w:rPr>
          <w:rFonts w:ascii="Arial" w:hAnsi="Arial"/>
          <w:b/>
          <w:sz w:val="24"/>
        </w:rPr>
      </w:r>
    </w:p>
    <w:p>
      <w:pPr>
        <w:pStyle w:val="PlainText"/>
        <w:bidi w:val="0"/>
        <w:spacing w:before="0" w:after="120"/>
        <w:ind w:hanging="360" w:start="360"/>
        <w:jc w:val="start"/>
        <w:rPr>
          <w:rFonts w:ascii="Arial" w:hAnsi="Arial"/>
          <w:i/>
          <w:i/>
          <w:sz w:val="24"/>
        </w:rPr>
      </w:pPr>
      <w:r>
        <w:rPr>
          <w:rFonts w:ascii="Arial" w:hAnsi="Arial"/>
          <w:b/>
          <w:i/>
          <w:sz w:val="24"/>
        </w:rPr>
        <w:t>B.    Costs to Make Retail Competition Available to Smaller Customers</w:t>
      </w:r>
      <w:r>
        <w:rPr>
          <w:rFonts w:ascii="Arial" w:hAnsi="Arial"/>
          <w:i/>
          <w:sz w:val="24"/>
        </w:rPr>
        <w:t>.</w:t>
      </w:r>
    </w:p>
    <w:p>
      <w:pPr>
        <w:pStyle w:val="PlainText"/>
        <w:bidi w:val="0"/>
        <w:spacing w:lineRule="auto" w:line="360"/>
        <w:jc w:val="start"/>
        <w:rPr>
          <w:rFonts w:ascii="Arial" w:hAnsi="Arial"/>
          <w:b/>
          <w:sz w:val="24"/>
          <w:u w:val="single"/>
        </w:rPr>
      </w:pPr>
      <w:r>
        <w:rPr>
          <w:rFonts w:ascii="Arial" w:hAnsi="Arial"/>
          <w:b/>
          <w:sz w:val="24"/>
          <w:u w:val="single"/>
        </w:rPr>
      </w:r>
    </w:p>
    <w:p>
      <w:pPr>
        <w:pStyle w:val="PlainText"/>
        <w:bidi w:val="0"/>
        <w:spacing w:lineRule="auto" w:line="360"/>
        <w:ind w:firstLine="720"/>
        <w:jc w:val="start"/>
        <w:rPr>
          <w:rFonts w:ascii="Arial" w:hAnsi="Arial"/>
          <w:sz w:val="24"/>
        </w:rPr>
      </w:pPr>
      <w:r>
        <w:rPr>
          <w:rFonts w:ascii="Arial" w:hAnsi="Arial"/>
          <w:sz w:val="24"/>
        </w:rPr>
        <w:t>In automating any computer process that potentially has to handle six million or more customers, the costs are non-trivial.    The cost to implement the retail portion of the Settlement Agreement, including automating customer switching and performing customer account management, is estimated at $5.5 million dollars for computer hardware and software for SoCalGas and $1.5 million for SDG&amp;E.    These costs are necessary to assure speedy transfer of customers to their new supplier, to provide seamless customer information transfer to the ESP, and to automate customer account management functions (customer information changes, choice of billing option and any changes to the customer’s account status, etc.).    For implementing utility consolidated billing, it is estimated that the costs will be in the range of $4.4 million for SoCalGas and $1.3 million for SDG&amp;E.    These costs are necessary in order to change the existing computer-based customer information systems to track revenues for multiple ESPs in addition to the utility, change the customer bill calculation process, change the bill presentment process, and change the collections process.</w:t>
      </w:r>
      <w:r>
        <w:rPr>
          <w:rStyle w:val="FootnoteReference"/>
          <w:rFonts w:ascii="Arial" w:hAnsi="Arial"/>
        </w:rPr>
        <w:footnoteReference w:id="9"/>
      </w:r>
      <w:r>
        <w:rPr>
          <w:rFonts w:ascii="Arial" w:hAnsi="Arial"/>
          <w:sz w:val="24"/>
        </w:rPr>
        <w:t xml:space="preserve">    </w:t>
      </w:r>
    </w:p>
    <w:p>
      <w:pPr>
        <w:pStyle w:val="PlainText"/>
        <w:bidi w:val="0"/>
        <w:spacing w:lineRule="auto" w:line="360" w:before="240" w:after="0"/>
        <w:ind w:firstLine="720"/>
        <w:jc w:val="start"/>
        <w:rPr>
          <w:rFonts w:ascii="Arial" w:hAnsi="Arial"/>
          <w:sz w:val="24"/>
        </w:rPr>
      </w:pPr>
      <w:r>
        <w:rPr>
          <w:rFonts w:ascii="Arial" w:hAnsi="Arial"/>
          <w:sz w:val="24"/>
        </w:rPr>
        <w:t>The total cost estimate of almost $10 million for both customer switching and customer account management and to provide utility consolidated billing for SoCalGas and $3 million for SDG&amp;E compares favorably to the $30 to $40 million in systems development and implementation expenses authorized by the Commission individually for Southern California Edison Company (SCE) and Pacific Gas &amp; Electric    Company (PG&amp;E) to implement these two types of significant computer changes as part of electric industry restructuring.</w:t>
      </w:r>
      <w:r>
        <w:rPr>
          <w:rStyle w:val="FootnoteReference"/>
          <w:rFonts w:ascii="Arial" w:hAnsi="Arial"/>
          <w:sz w:val="24"/>
        </w:rPr>
        <w:footnoteReference w:id="10"/>
      </w:r>
      <w:r>
        <w:rPr>
          <w:rFonts w:ascii="Arial" w:hAnsi="Arial"/>
          <w:sz w:val="24"/>
        </w:rPr>
        <w:t xml:space="preserve">    The Legislature and the Commission found that substantial expected benefits to all customers of customer choice outweighed the significant costs to implement measures to enable competition. </w:t>
      </w:r>
    </w:p>
    <w:p>
      <w:pPr>
        <w:pStyle w:val="PlainText"/>
        <w:bidi w:val="0"/>
        <w:spacing w:lineRule="auto" w:line="360" w:before="240" w:after="0"/>
        <w:ind w:firstLine="720"/>
        <w:jc w:val="start"/>
        <w:rPr>
          <w:rFonts w:ascii="Arial" w:hAnsi="Arial"/>
          <w:sz w:val="24"/>
        </w:rPr>
      </w:pPr>
      <w:r>
        <w:rPr>
          <w:rFonts w:ascii="Arial" w:hAnsi="Arial"/>
          <w:sz w:val="24"/>
        </w:rPr>
        <w:t xml:space="preserve">But as part of this Settlement Agreement, in order to provide further significant benefits to core customers, SoCalGas has agreed to absorb all $10 million in capital costs within its currently authorized ratebase, and SDG&amp;E has agreed to absorb $3 million in these particular systems development and implementation costs within its currently authorized ratebase. 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 xml:space="preserve">Until the next PBR, the related ongoing operation and maintenance costs will be either absorbed by the utilities within currently authorized revenues or collected in direct fees from users of particular utility services.    As a result, ratepayers will see no rate increase to implement the retail portion of the Settlement.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jc w:val="start"/>
        <w:rPr>
          <w:rFonts w:ascii="Arial" w:hAnsi="Arial"/>
          <w:b/>
          <w:i/>
          <w:i/>
          <w:sz w:val="24"/>
        </w:rPr>
      </w:pPr>
      <w:r>
        <w:rPr>
          <w:rFonts w:ascii="Arial" w:hAnsi="Arial"/>
          <w:b/>
          <w:i/>
          <w:sz w:val="24"/>
        </w:rPr>
        <w:t>C.    Conclusion</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Taken as a whole, the retail portion of the Settlement Agreement provides benefits to all SoCalGas and SDG&amp;E customers well in excess of the costs, “preserving the low costs currently enjoyed by California natural gas customers.”</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jc w:val="start"/>
        <w:rPr>
          <w:rFonts w:ascii="Arial" w:hAnsi="Arial"/>
          <w:b/>
          <w:sz w:val="28"/>
        </w:rPr>
      </w:pPr>
      <w:r>
        <w:rPr>
          <w:rFonts w:ascii="Arial" w:hAnsi="Arial"/>
          <w:b/>
          <w:sz w:val="28"/>
        </w:rPr>
        <w:t>IV.      Detailed Settlement Proposals Addressing Promising Options</w:t>
      </w:r>
    </w:p>
    <w:p>
      <w:pPr>
        <w:pStyle w:val="PlainText"/>
        <w:bidi w:val="0"/>
        <w:jc w:val="start"/>
        <w:rPr>
          <w:rFonts w:ascii="Arial" w:hAnsi="Arial"/>
          <w:sz w:val="24"/>
        </w:rPr>
      </w:pPr>
      <w:r>
        <w:rPr>
          <w:rFonts w:ascii="Arial" w:hAnsi="Arial"/>
          <w:sz w:val="24"/>
        </w:rPr>
      </w:r>
    </w:p>
    <w:p>
      <w:pPr>
        <w:pStyle w:val="Heading2"/>
        <w:numPr>
          <w:ilvl w:val="0"/>
          <w:numId w:val="0"/>
        </w:numPr>
        <w:bidi w:val="0"/>
        <w:ind w:hanging="0" w:start="0"/>
        <w:jc w:val="start"/>
        <w:outlineLvl w:val="1"/>
        <w:rPr>
          <w:rFonts w:ascii="Arial" w:hAnsi="Arial"/>
          <w:b/>
          <w:i/>
          <w:i/>
          <w:sz w:val="24"/>
          <w:u w:val="none"/>
        </w:rPr>
      </w:pPr>
      <w:r>
        <w:rPr>
          <w:rFonts w:ascii="Arial" w:hAnsi="Arial"/>
          <w:b/>
          <w:i/>
          <w:sz w:val="24"/>
          <w:u w:val="none"/>
        </w:rPr>
        <w:t>A.      Eliminate Core Aggregation Volume Cap</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1 above and Section 5.2 of Settlement Agreement)</w:t>
      </w:r>
    </w:p>
    <w:p>
      <w:pPr>
        <w:pStyle w:val="BodyText"/>
        <w:bidi w:val="0"/>
        <w:spacing w:lineRule="auto" w:line="360"/>
        <w:ind w:firstLine="720" w:start="0"/>
        <w:jc w:val="start"/>
        <w:rPr>
          <w:rFonts w:ascii="Arial" w:hAnsi="Arial"/>
        </w:rPr>
      </w:pPr>
      <w:r>
        <w:rPr>
          <w:rFonts w:ascii="Arial" w:hAnsi="Arial"/>
        </w:rPr>
        <w:t xml:space="preserve">Currently, there is a 10 percent cap by utility on the percentage of total core market share by volume that can be served by CTA marketers on the SoCalGas and SDG&amp;E systems.    From the inception of the program in 1991 to mid-1999, customer participation was fairly stable on the SoCalGas system, ranging from approximately 7,000 to 9,000 customers representing about four percent of core market volumes.    There are currently more than 24,000 SoCalGas customers on the CTA program representing 4.3 percent of total core load; the increase in customer participation is attributed to residential customers who have recently joined the program. On the SDG&amp;E system, there are currently almost 3,000 customers representing 3.8 percent of core volumes participating in the CTA program.    </w:t>
      </w:r>
    </w:p>
    <w:p>
      <w:pPr>
        <w:pStyle w:val="BodyText"/>
        <w:bidi w:val="0"/>
        <w:spacing w:lineRule="auto" w:line="360"/>
        <w:ind w:firstLine="720" w:start="0"/>
        <w:jc w:val="start"/>
        <w:rPr>
          <w:rFonts w:ascii="Arial" w:hAnsi="Arial"/>
        </w:rPr>
      </w:pPr>
      <w:r>
        <w:rPr>
          <w:rFonts w:ascii="Arial" w:hAnsi="Arial"/>
        </w:rPr>
        <w:t>Currently, customer choice processing and customer-account management are primarily manual processes which were designed to handle low customer participation levels in a relatively stable environment which was expected as long as the 10 percent volume cap was in place.    At the time the computer-based business systems to manage the CTA program were developed in 1991, there was no reason to foresee the present natural gas OII and expansion of the CTA program beyond the 10 percent cap (measured by volume), and it was not expected that a significant number of residential customers would participate. However, the capacity portion and the billing provisions of this Settlement Agreement are anticipated to lead to a significant resurgence in interest in the CTA program, both by customers and ESPs.</w:t>
      </w:r>
      <w:r>
        <w:rPr>
          <w:rStyle w:val="FootnoteReference"/>
          <w:rFonts w:ascii="Arial" w:hAnsi="Arial"/>
        </w:rPr>
        <w:footnoteReference w:id="11"/>
      </w:r>
      <w:r>
        <w:rPr>
          <w:rFonts w:ascii="Arial" w:hAnsi="Arial"/>
        </w:rPr>
        <w:t xml:space="preserve">    The first order of business is to eliminate the 10 percent volume cap to ensure no core customers are precluded from receiving the benefits of the changes outlined in the Settlement Agreement. Adopting this change will also provide statewide consistency in CTA programs. </w:t>
      </w:r>
    </w:p>
    <w:p>
      <w:pPr>
        <w:pStyle w:val="BodyText"/>
        <w:bidi w:val="0"/>
        <w:spacing w:lineRule="auto" w:line="360"/>
        <w:ind w:firstLine="720" w:start="0"/>
        <w:jc w:val="start"/>
        <w:rPr>
          <w:rFonts w:ascii="Arial" w:hAnsi="Arial"/>
        </w:rPr>
      </w:pPr>
      <w:r>
        <w:rPr>
          <w:rFonts w:ascii="Arial" w:hAnsi="Arial"/>
        </w:rPr>
        <w:t xml:space="preserve">If competition is to work for these smaller customers, the systems necessary to transfer them efficiently to unbundled service must be in place before a significantly larger number of ESPs will seek new customers.      The customer-switching and customer information transfer processes must be standardized and automated to make the switch quickly and error-free, to create confidence in this program, and to minimize transactions costs.    This Settlement Agreement endorses the principle that the gas utilities move toward standards and requirements that generally mirror the electric utility Direct Access Service Request (DASR) standards and requirements.    It is very important for ESPs to have only one set of rules and standards across both gas and electricity to the extent possible to encourage more energy suppliers to participate in the CTA program and serve small use customers.    </w:t>
      </w:r>
    </w:p>
    <w:p>
      <w:pPr>
        <w:pStyle w:val="BodyText"/>
        <w:bidi w:val="0"/>
        <w:spacing w:lineRule="auto" w:line="360"/>
        <w:ind w:firstLine="720" w:start="0"/>
        <w:jc w:val="start"/>
        <w:rPr>
          <w:rFonts w:ascii="Arial" w:hAnsi="Arial"/>
        </w:rPr>
      </w:pPr>
      <w:r>
        <w:rPr>
          <w:rFonts w:ascii="Arial" w:hAnsi="Arial"/>
        </w:rPr>
        <w:t xml:space="preserve">Both SoCalGas and SDG&amp;E need to automate their computer-based business systems in order to accommodate the anticipated much higher volume of core customer participation, and to provide an account maintenance system to transfer changing customer information to ESPs (currently, ESPs must obtain this new information about the customer directly from the customer).    A new Service Request/Account Management system would be established to facilitate customer choice and the exchange of customer and billing information between the ESPs and the utility.    The system would be fully automated and would include electronic (e.g. electronic data interchange, or EDI, or Web-enabled) gas DASR transmittal and processing, a gas DASR management database with information reporting functions, electronic meter read data transfer system, electronic billing data transfer system for utility charges provided to ESPs who provide consolidated billing, and customer account maintenance transactions.    </w:t>
      </w:r>
    </w:p>
    <w:p>
      <w:pPr>
        <w:pStyle w:val="Normal"/>
        <w:bidi w:val="0"/>
        <w:jc w:val="start"/>
        <w:rPr>
          <w:rFonts w:ascii="Arial" w:hAnsi="Arial"/>
          <w:sz w:val="24"/>
        </w:rPr>
      </w:pPr>
      <w:r>
        <w:rPr>
          <w:rFonts w:ascii="Arial" w:hAnsi="Arial"/>
          <w:sz w:val="24"/>
        </w:rPr>
      </w:r>
    </w:p>
    <w:p>
      <w:pPr>
        <w:pStyle w:val="BodyTextContinued"/>
        <w:widowControl w:val="false"/>
        <w:bidi w:val="0"/>
        <w:spacing w:before="0" w:after="240"/>
        <w:ind w:hanging="0" w:start="0"/>
        <w:jc w:val="start"/>
        <w:rPr/>
      </w:pPr>
      <w:r>
        <w:rPr>
          <w:rFonts w:ascii="Arial" w:hAnsi="Arial"/>
        </w:rPr>
        <w:t>The projected costs of this computer-based system for SoCalGas are $5.5 million, broken down into $2.7 million in hardware infrastructure costs to store the data and communicate with utility billing systems and ESP billing systems, and $2.8 million for the computer programming to implement the necessary systems and related interfaces.    The similar projected costs for SDG&amp;E are $1.5 million, broken down into $0.6 million in hardware infrastructure costs to store the data and communicate with utility billing systems and ESP billing systems, and $0.9 million for the computer programming to implement the necessary systems and related interfaces. The capital costs will provide the following functionality:</w:t>
      </w:r>
    </w:p>
    <w:p>
      <w:pPr>
        <w:pStyle w:val="Normal"/>
        <w:bidi w:val="0"/>
        <w:jc w:val="start"/>
        <w:rPr>
          <w:rFonts w:ascii="Arial" w:hAnsi="Arial"/>
          <w:sz w:val="24"/>
        </w:rPr>
      </w:pPr>
      <w:r>
        <w:rPr>
          <w:rFonts w:ascii="Arial" w:hAnsi="Arial"/>
          <w:sz w:val="24"/>
        </w:rPr>
      </w:r>
    </w:p>
    <w:p>
      <w:pPr>
        <w:pStyle w:val="Normal"/>
        <w:numPr>
          <w:ilvl w:val="0"/>
          <w:numId w:val="1"/>
        </w:numPr>
        <w:tabs>
          <w:tab w:val="left" w:pos="360" w:leader="none"/>
        </w:tabs>
        <w:bidi w:val="0"/>
        <w:jc w:val="start"/>
        <w:rPr>
          <w:rFonts w:ascii="Arial" w:hAnsi="Arial"/>
          <w:sz w:val="24"/>
        </w:rPr>
      </w:pPr>
      <w:r>
        <w:rPr>
          <w:rFonts w:ascii="Arial" w:hAnsi="Arial"/>
          <w:sz w:val="24"/>
        </w:rPr>
        <w:t>Electronic data transmission to and from ESPs via EDI or Web-enabled</w:t>
      </w:r>
    </w:p>
    <w:p>
      <w:pPr>
        <w:pStyle w:val="Normal"/>
        <w:numPr>
          <w:ilvl w:val="0"/>
          <w:numId w:val="1"/>
        </w:numPr>
        <w:tabs>
          <w:tab w:val="left" w:pos="360" w:leader="none"/>
        </w:tabs>
        <w:bidi w:val="0"/>
        <w:jc w:val="start"/>
        <w:rPr>
          <w:rFonts w:ascii="Arial" w:hAnsi="Arial"/>
          <w:sz w:val="24"/>
        </w:rPr>
      </w:pPr>
      <w:r>
        <w:rPr>
          <w:rFonts w:ascii="Arial" w:hAnsi="Arial"/>
          <w:sz w:val="24"/>
        </w:rPr>
        <w:t>Validation of transfer of service requests</w:t>
      </w:r>
    </w:p>
    <w:p>
      <w:pPr>
        <w:pStyle w:val="Normal"/>
        <w:numPr>
          <w:ilvl w:val="0"/>
          <w:numId w:val="1"/>
        </w:numPr>
        <w:tabs>
          <w:tab w:val="left" w:pos="360" w:leader="none"/>
        </w:tabs>
        <w:bidi w:val="0"/>
        <w:jc w:val="start"/>
        <w:rPr>
          <w:rFonts w:ascii="Arial" w:hAnsi="Arial"/>
          <w:sz w:val="24"/>
        </w:rPr>
      </w:pPr>
      <w:r>
        <w:rPr>
          <w:rFonts w:ascii="Arial" w:hAnsi="Arial"/>
          <w:sz w:val="24"/>
        </w:rPr>
        <w:t>Communication of account information to ESPs</w:t>
      </w:r>
    </w:p>
    <w:p>
      <w:pPr>
        <w:pStyle w:val="Normal"/>
        <w:numPr>
          <w:ilvl w:val="0"/>
          <w:numId w:val="1"/>
        </w:numPr>
        <w:tabs>
          <w:tab w:val="left" w:pos="360" w:leader="none"/>
        </w:tabs>
        <w:bidi w:val="0"/>
        <w:jc w:val="start"/>
        <w:rPr>
          <w:rFonts w:ascii="Arial" w:hAnsi="Arial"/>
          <w:sz w:val="24"/>
        </w:rPr>
      </w:pPr>
      <w:r>
        <w:rPr>
          <w:rFonts w:ascii="Arial" w:hAnsi="Arial"/>
          <w:sz w:val="24"/>
        </w:rPr>
        <w:t>Mass change of accounts from one ESP to another</w:t>
      </w:r>
    </w:p>
    <w:p>
      <w:pPr>
        <w:pStyle w:val="Normal"/>
        <w:numPr>
          <w:ilvl w:val="0"/>
          <w:numId w:val="1"/>
        </w:numPr>
        <w:tabs>
          <w:tab w:val="left" w:pos="360" w:leader="none"/>
        </w:tabs>
        <w:bidi w:val="0"/>
        <w:jc w:val="start"/>
        <w:rPr>
          <w:rFonts w:ascii="Arial" w:hAnsi="Arial"/>
          <w:sz w:val="24"/>
        </w:rPr>
      </w:pPr>
      <w:r>
        <w:rPr>
          <w:rFonts w:ascii="Arial" w:hAnsi="Arial"/>
          <w:sz w:val="24"/>
        </w:rPr>
        <w:t>Automated set up of accounts in billing system including turn-on order, billing options, and EDI</w:t>
      </w:r>
    </w:p>
    <w:p>
      <w:pPr>
        <w:pStyle w:val="Normal"/>
        <w:numPr>
          <w:ilvl w:val="0"/>
          <w:numId w:val="1"/>
        </w:numPr>
        <w:tabs>
          <w:tab w:val="left" w:pos="360" w:leader="none"/>
        </w:tabs>
        <w:bidi w:val="0"/>
        <w:jc w:val="start"/>
        <w:rPr>
          <w:rFonts w:ascii="Arial" w:hAnsi="Arial"/>
          <w:sz w:val="24"/>
        </w:rPr>
      </w:pPr>
      <w:r>
        <w:rPr>
          <w:rFonts w:ascii="Arial" w:hAnsi="Arial"/>
          <w:sz w:val="24"/>
        </w:rPr>
        <w:t>Account maintenance updates to/from ESP</w:t>
      </w:r>
    </w:p>
    <w:p>
      <w:pPr>
        <w:pStyle w:val="Normal"/>
        <w:numPr>
          <w:ilvl w:val="0"/>
          <w:numId w:val="1"/>
        </w:numPr>
        <w:tabs>
          <w:tab w:val="left" w:pos="360" w:leader="none"/>
        </w:tabs>
        <w:bidi w:val="0"/>
        <w:jc w:val="start"/>
        <w:rPr>
          <w:rFonts w:ascii="Arial" w:hAnsi="Arial"/>
          <w:sz w:val="24"/>
        </w:rPr>
      </w:pPr>
      <w:r>
        <w:rPr>
          <w:rFonts w:ascii="Arial" w:hAnsi="Arial"/>
          <w:sz w:val="24"/>
        </w:rPr>
        <w:t>Communication to customer</w:t>
      </w:r>
    </w:p>
    <w:p>
      <w:pPr>
        <w:pStyle w:val="Normal"/>
        <w:numPr>
          <w:ilvl w:val="0"/>
          <w:numId w:val="1"/>
        </w:numPr>
        <w:tabs>
          <w:tab w:val="left" w:pos="360" w:leader="none"/>
        </w:tabs>
        <w:bidi w:val="0"/>
        <w:jc w:val="start"/>
        <w:rPr>
          <w:rFonts w:ascii="Arial" w:hAnsi="Arial"/>
          <w:sz w:val="24"/>
        </w:rPr>
      </w:pPr>
      <w:r>
        <w:rPr>
          <w:rFonts w:ascii="Arial" w:hAnsi="Arial"/>
          <w:sz w:val="24"/>
        </w:rPr>
        <w:t>Prepare various reports to ESPs and the CPUC.</w:t>
      </w:r>
    </w:p>
    <w:p>
      <w:pPr>
        <w:pStyle w:val="Normal"/>
        <w:tabs>
          <w:tab w:val="left" w:pos="360" w:leader="none"/>
        </w:tabs>
        <w:bidi w:val="0"/>
        <w:jc w:val="start"/>
        <w:rPr>
          <w:rFonts w:ascii="Arial" w:hAnsi="Arial"/>
          <w:sz w:val="24"/>
        </w:rPr>
      </w:pPr>
      <w:r>
        <w:rPr>
          <w:rFonts w:ascii="Arial" w:hAnsi="Arial"/>
          <w:sz w:val="24"/>
        </w:rPr>
      </w:r>
    </w:p>
    <w:p>
      <w:pPr>
        <w:pStyle w:val="BodyTextContinued"/>
        <w:widowControl w:val="false"/>
        <w:bidi w:val="0"/>
        <w:spacing w:before="0" w:after="240"/>
        <w:ind w:hanging="0" w:start="0"/>
        <w:jc w:val="start"/>
        <w:rPr/>
      </w:pPr>
      <w:r>
        <w:rPr/>
      </w:r>
    </w:p>
    <w:p>
      <w:pPr>
        <w:pStyle w:val="BodyTextContinued"/>
        <w:widowControl w:val="false"/>
        <w:bidi w:val="0"/>
        <w:spacing w:before="0" w:after="240"/>
        <w:ind w:hanging="0" w:start="0"/>
        <w:jc w:val="start"/>
        <w:rPr/>
      </w:pPr>
      <w:r>
        <w:rPr>
          <w:rFonts w:ascii="Arial" w:hAnsi="Arial"/>
        </w:rPr>
        <w:t xml:space="preserve">SDG&amp;E expects one-time costs of $300,000 for added manual processing until the automated systems are put into place.    </w:t>
      </w:r>
    </w:p>
    <w:p>
      <w:pPr>
        <w:pStyle w:val="BodyTextContinued"/>
        <w:widowControl w:val="false"/>
        <w:bidi w:val="0"/>
        <w:spacing w:before="0" w:after="240"/>
        <w:ind w:hanging="0" w:start="0"/>
        <w:jc w:val="start"/>
        <w:rPr/>
      </w:pPr>
      <w:r>
        <w:rPr/>
      </w:r>
    </w:p>
    <w:p>
      <w:pPr>
        <w:pStyle w:val="BodyTextContinued"/>
        <w:widowControl w:val="false"/>
        <w:bidi w:val="0"/>
        <w:spacing w:before="0" w:after="240"/>
        <w:ind w:hanging="0" w:start="0"/>
        <w:jc w:val="start"/>
        <w:rPr/>
      </w:pPr>
      <w:r>
        <w:rPr>
          <w:rFonts w:ascii="Arial" w:hAnsi="Arial"/>
        </w:rPr>
        <w:t xml:space="preserve">In addition, there are significant expected on-going costs that will vary depending on the number of customers choosing non-utility gas procurement    related to exception processing of DASRs, mailing expense for customer notification letters, and customer inquiries about customer choice in gas procurement in general. </w:t>
      </w:r>
    </w:p>
    <w:p>
      <w:pPr>
        <w:pStyle w:val="BodyTextContinued"/>
        <w:widowControl w:val="false"/>
        <w:bidi w:val="0"/>
        <w:spacing w:before="0" w:after="240"/>
        <w:ind w:hanging="0" w:start="0"/>
        <w:jc w:val="start"/>
        <w:rPr/>
      </w:pPr>
      <w:r>
        <w:rPr>
          <w:rFonts w:ascii="Arial" w:hAnsi="Arial"/>
        </w:rPr>
        <w:t xml:space="preserve">There are no significant labor or safety impacts.    </w:t>
      </w:r>
    </w:p>
    <w:p>
      <w:pPr>
        <w:pStyle w:val="Normal"/>
        <w:bidi w:val="0"/>
        <w:jc w:val="start"/>
        <w:rPr>
          <w:rFonts w:ascii="Arial" w:hAnsi="Arial"/>
          <w:sz w:val="24"/>
        </w:rPr>
      </w:pPr>
      <w:r>
        <w:rPr>
          <w:rFonts w:ascii="Arial" w:hAnsi="Arial"/>
          <w:sz w:val="24"/>
        </w:rPr>
      </w:r>
    </w:p>
    <w:p>
      <w:pPr>
        <w:pStyle w:val="Heading2"/>
        <w:numPr>
          <w:ilvl w:val="0"/>
          <w:numId w:val="0"/>
        </w:numPr>
        <w:bidi w:val="0"/>
        <w:spacing w:lineRule="auto" w:line="360"/>
        <w:ind w:hanging="0" w:start="0"/>
        <w:jc w:val="start"/>
        <w:outlineLvl w:val="1"/>
        <w:rPr>
          <w:rFonts w:ascii="Arial" w:hAnsi="Arial"/>
          <w:b/>
          <w:i/>
          <w:i/>
          <w:sz w:val="24"/>
          <w:u w:val="none"/>
        </w:rPr>
      </w:pPr>
      <w:bookmarkStart w:id="0" w:name="_Toc472931269"/>
      <w:bookmarkStart w:id="1" w:name="_Toc472931333"/>
      <w:r>
        <w:rPr>
          <w:rFonts w:ascii="Arial" w:hAnsi="Arial"/>
          <w:b/>
          <w:i/>
          <w:sz w:val="24"/>
          <w:u w:val="none"/>
        </w:rPr>
        <w:t>B.      Provide Customer-Specific Usage Data</w:t>
      </w:r>
      <w:bookmarkEnd w:id="0"/>
      <w:bookmarkEnd w:id="1"/>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2 above and Section 6.1 of Settlement Agreement)</w:t>
      </w:r>
    </w:p>
    <w:p>
      <w:pPr>
        <w:pStyle w:val="Heading2"/>
        <w:numPr>
          <w:ilvl w:val="0"/>
          <w:numId w:val="0"/>
        </w:numPr>
        <w:bidi w:val="0"/>
        <w:spacing w:lineRule="auto" w:line="360"/>
        <w:ind w:hanging="0" w:start="0"/>
        <w:jc w:val="start"/>
        <w:outlineLvl w:val="1"/>
        <w:rPr>
          <w:rFonts w:ascii="Arial" w:hAnsi="Arial"/>
          <w:i/>
          <w:i/>
          <w:sz w:val="24"/>
          <w:u w:val="none"/>
        </w:rPr>
      </w:pPr>
      <w:r>
        <w:rPr>
          <w:rFonts w:ascii="Arial" w:hAnsi="Arial"/>
          <w:i/>
          <w:sz w:val="24"/>
          <w:u w:val="none"/>
        </w:rPr>
      </w:r>
    </w:p>
    <w:p>
      <w:pPr>
        <w:pStyle w:val="Bullet3"/>
        <w:bidi w:val="0"/>
        <w:spacing w:lineRule="auto" w:line="360"/>
        <w:ind w:firstLine="720" w:start="0"/>
        <w:jc w:val="start"/>
        <w:rPr>
          <w:rFonts w:ascii="Arial" w:hAnsi="Arial"/>
        </w:rPr>
      </w:pPr>
      <w:r>
        <w:rPr>
          <w:rFonts w:ascii="Arial" w:hAnsi="Arial"/>
        </w:rPr>
        <w:t>The non-utility parties are satisfied with the existing universe of available SoCalGas customer consumption data, but are not satisfied with information delivery options and data presentation. Specifically, non-utility parties desire that the utilities present consumption data in consistent formats across different contexts (e.g., EDI billing of line items, imbalance statements to ESPs, historical statements for prospective ESP end-users).</w:t>
      </w:r>
    </w:p>
    <w:p>
      <w:pPr>
        <w:pStyle w:val="Bullet3"/>
        <w:bidi w:val="0"/>
        <w:spacing w:lineRule="auto" w:line="360"/>
        <w:ind w:firstLine="720" w:start="0"/>
        <w:jc w:val="start"/>
        <w:rPr>
          <w:rFonts w:ascii="Arial" w:hAnsi="Arial"/>
        </w:rPr>
      </w:pPr>
      <w:r>
        <w:rPr>
          <w:rFonts w:ascii="Arial" w:hAnsi="Arial"/>
        </w:rPr>
      </w:r>
    </w:p>
    <w:p>
      <w:pPr>
        <w:pStyle w:val="Normal"/>
        <w:bidi w:val="0"/>
        <w:spacing w:lineRule="auto" w:line="360"/>
        <w:ind w:firstLine="720"/>
        <w:jc w:val="start"/>
        <w:rPr>
          <w:rFonts w:ascii="Arial" w:hAnsi="Arial"/>
          <w:sz w:val="24"/>
        </w:rPr>
      </w:pPr>
      <w:r>
        <w:rPr>
          <w:rFonts w:ascii="Arial" w:hAnsi="Arial"/>
          <w:sz w:val="24"/>
        </w:rPr>
        <w:t xml:space="preserve">SoCalGas customers already have access to information regarding their own gas usage through a variety of sources including the Customer Service Connection (on SoCalGas’ website), the call center, and GasSelect®.    SDG&amp;E customers already have access to usage information through Energy Waves (on SDG&amp;E’s website) and through the phone center.    SDG&amp;E’s non-core self procurement customers have access to their daily usage via the “Energy Bulletin Board”.    For electric customers, SDG&amp;E sends 12 months of usage data electronically to service providers upon acceptance of a request to switch service.    This electronic delivery will be made available to ESPs for gas customers.    However, SoCalGas and SDG&amp;E agree to convene data access workshops by June 16, 2000 with parties to reach agreement on improved access and delivery procedures.    This will allow the utilities time to implement the computer programming changes as part of the new customer choice/account management systems.    Working with ESPs to develop standards for data transfer at the time the computer systems are being developed will reduce future programming costs.      </w:t>
      </w:r>
    </w:p>
    <w:p>
      <w:pPr>
        <w:pStyle w:val="Normal"/>
        <w:bidi w:val="0"/>
        <w:spacing w:lineRule="auto" w:line="360"/>
        <w:ind w:firstLine="72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Other data requested by non-utility parties or by customers will be provided as long as SoCalGas and SDG&amp;E are not required to make any substantial changes to their current computer systems.    SoCalGas and SDG&amp;E will work with customers and/or ESPs to provide customer-specific information needed to meet their information needs, consistent with customer protection and privacy considerations. Customers and/or ESPs will pay the reasonable cost of any requests for additional information.</w:t>
      </w:r>
    </w:p>
    <w:p>
      <w:pPr>
        <w:pStyle w:val="Normal"/>
        <w:bidi w:val="0"/>
        <w:spacing w:lineRule="auto" w:line="360"/>
        <w:ind w:firstLine="72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 xml:space="preserve">Transportation bill calculations and historical consumption histories will remain with the utilities, so there is no safety impact in the provision of information to customers.    The utility can still use the measured usage data as a starting point for safety investigations.    And, the expected result of increased provision of data is more work for existing employees. </w:t>
      </w:r>
    </w:p>
    <w:p>
      <w:pPr>
        <w:pStyle w:val="Normal"/>
        <w:bidi w:val="0"/>
        <w:spacing w:lineRule="auto" w:line="360"/>
        <w:ind w:firstLine="720"/>
        <w:jc w:val="start"/>
        <w:rPr/>
      </w:pPr>
      <w:r>
        <w:rPr/>
      </w:r>
    </w:p>
    <w:p>
      <w:pPr>
        <w:pStyle w:val="Normal"/>
        <w:bidi w:val="0"/>
        <w:spacing w:lineRule="auto" w:line="360"/>
        <w:ind w:firstLine="720"/>
        <w:jc w:val="start"/>
        <w:rPr/>
      </w:pPr>
      <w:r>
        <w:rPr/>
      </w:r>
    </w:p>
    <w:p>
      <w:pPr>
        <w:pStyle w:val="Normal"/>
        <w:bidi w:val="0"/>
        <w:jc w:val="start"/>
        <w:rPr>
          <w:rFonts w:ascii="Arial" w:hAnsi="Arial"/>
          <w:b/>
          <w:i/>
          <w:i/>
          <w:sz w:val="24"/>
        </w:rPr>
      </w:pPr>
      <w:r>
        <w:rPr>
          <w:rFonts w:ascii="Arial" w:hAnsi="Arial"/>
          <w:b/>
          <w:i/>
          <w:sz w:val="24"/>
        </w:rPr>
        <w:t xml:space="preserve">C.      Enable Utility Consolidated Billing </w:t>
      </w:r>
    </w:p>
    <w:p>
      <w:pPr>
        <w:pStyle w:val="Heading2"/>
        <w:numPr>
          <w:ilvl w:val="0"/>
          <w:numId w:val="0"/>
        </w:numPr>
        <w:bidi w:val="0"/>
        <w:ind w:hanging="0" w:start="0"/>
        <w:jc w:val="start"/>
        <w:outlineLvl w:val="1"/>
        <w:rPr>
          <w:rFonts w:ascii="Arial" w:hAnsi="Arial"/>
          <w:i/>
          <w:i/>
          <w:sz w:val="24"/>
          <w:u w:val="none"/>
        </w:rPr>
      </w:pPr>
      <w:r>
        <w:rPr>
          <w:rFonts w:ascii="Arial" w:hAnsi="Arial"/>
          <w:i/>
          <w:sz w:val="24"/>
          <w:u w:val="none"/>
        </w:rPr>
        <w:t>(Promising Option numbered 3 above and Section 7.2.3 of Settlement Agreement)</w:t>
      </w:r>
    </w:p>
    <w:p>
      <w:pPr>
        <w:pStyle w:val="Normal"/>
        <w:bidi w:val="0"/>
        <w:jc w:val="start"/>
        <w:rPr>
          <w:rFonts w:ascii="Arial" w:hAnsi="Arial"/>
          <w:i/>
          <w:i/>
          <w:sz w:val="24"/>
        </w:rPr>
      </w:pPr>
      <w:r>
        <w:rPr>
          <w:rFonts w:ascii="Arial" w:hAnsi="Arial"/>
          <w:i/>
          <w:sz w:val="24"/>
        </w:rPr>
      </w:r>
    </w:p>
    <w:p>
      <w:pPr>
        <w:pStyle w:val="BodyTextContinued"/>
        <w:widowControl w:val="false"/>
        <w:bidi w:val="0"/>
        <w:spacing w:before="0" w:after="240"/>
        <w:ind w:hanging="0" w:start="0"/>
        <w:jc w:val="start"/>
        <w:rPr/>
      </w:pPr>
      <w:r>
        <w:rPr>
          <w:rFonts w:ascii="Arial" w:hAnsi="Arial"/>
        </w:rPr>
        <w:t>Currently, ESPs who sell gas to residential and small commercial customers have two options open to them.    The first option is for the ESP to bill for the gas commodity and have the utility bill for gas transportation.    The second option is for the ESP to bill for both their gas service and transportation service (wherein the utility calculates the transportation bill but passes on the data in summary form to the ESP).    A third potential billing option, utility consolidated billing, where the utility would bill for both    transportation service and the ESP’s gas commodity, is not presently available.    This third option is available to ESPs for sales of electricity.    The Commission recommended in D. 99-07-015 that the gas industry reflect the same options as currently exist in the electric industry.</w:t>
      </w:r>
    </w:p>
    <w:p>
      <w:pPr>
        <w:pStyle w:val="BodyTextContinued"/>
        <w:widowControl w:val="false"/>
        <w:bidi w:val="0"/>
        <w:spacing w:before="0" w:after="240"/>
        <w:ind w:hanging="0" w:start="0"/>
        <w:jc w:val="start"/>
        <w:rPr/>
      </w:pPr>
      <w:r>
        <w:rPr>
          <w:rFonts w:ascii="Arial" w:hAnsi="Arial"/>
        </w:rPr>
        <w:t>Major differences also exist with respect to billing between the electric industry and the natural gas industry, related to information and timing standards.    There are specific standards that are in place for the electric industry that are not in place as part of the current CTA program rules.    Specifically, standards for EDI billing, bill adjustments, customer account maintenance, measurement timing, and accuracy standards need to be established for gas.</w:t>
      </w:r>
    </w:p>
    <w:p>
      <w:pPr>
        <w:pStyle w:val="Bullet3"/>
        <w:bidi w:val="0"/>
        <w:spacing w:lineRule="auto" w:line="360" w:before="0" w:after="0"/>
        <w:ind w:firstLine="720" w:start="0"/>
        <w:jc w:val="start"/>
        <w:rPr>
          <w:rFonts w:ascii="Arial" w:hAnsi="Arial"/>
        </w:rPr>
      </w:pPr>
      <w:r>
        <w:rPr>
          <w:rFonts w:ascii="Arial" w:hAnsi="Arial"/>
        </w:rPr>
        <w:t xml:space="preserve">The Settlement Agreement proposes that SoCalGas and SDG&amp;E may offer a consolidated billing option to ESPs as soon as utility billing system modifications allow it.    Details of this billing option (including standards for EDI billing, bill adjustments, account maintenance, measurement timing, accuracy standards, collection procedures and any fees to ESPs for consolidated billing related services) will be filed with the Commission in the advice letters implementing this Settlement Agreement.    </w:t>
      </w:r>
    </w:p>
    <w:p>
      <w:pPr>
        <w:pStyle w:val="Bullet3"/>
        <w:bidi w:val="0"/>
        <w:spacing w:lineRule="auto" w:line="360" w:before="240" w:after="0"/>
        <w:ind w:firstLine="720" w:start="0"/>
        <w:jc w:val="start"/>
        <w:rPr>
          <w:rFonts w:ascii="Arial" w:hAnsi="Arial"/>
        </w:rPr>
      </w:pPr>
      <w:r>
        <w:rPr>
          <w:rFonts w:ascii="Arial" w:hAnsi="Arial"/>
        </w:rPr>
        <w:t xml:space="preserve">The major benefits of these billing changes are to provide one set of rules across two industries as much as possible to reduce transaction costs, ensure consistency wherever feasible, improve the efficiency of the process, and reduce barriers to entry. To the extent the gas utility consolidated billing standards and requirements mirror the electric utility billing standards, fewer costs are imposed on energy suppliers that want to provide both gas and electricity to customers and they will have an opportunity to pass the savings on to consumers.    And to the extent the gas utility consolidated billing standards and requirements are consistent statewide,    barriers to entry will be reduced and fewer costs will be imposed on energy suppliers that want to provide both gas to customers with facilities throughout the state.    </w:t>
      </w:r>
    </w:p>
    <w:p>
      <w:pPr>
        <w:pStyle w:val="Bullet3"/>
        <w:bidi w:val="0"/>
        <w:spacing w:lineRule="auto" w:line="360" w:before="240" w:after="0"/>
        <w:ind w:firstLine="720" w:start="0"/>
        <w:jc w:val="start"/>
        <w:rPr>
          <w:rFonts w:ascii="Arial" w:hAnsi="Arial"/>
        </w:rPr>
      </w:pPr>
      <w:r>
        <w:rPr>
          <w:rFonts w:ascii="Arial" w:hAnsi="Arial"/>
        </w:rPr>
        <w:t xml:space="preserve"> </w:t>
      </w:r>
      <w:r>
        <w:rPr>
          <w:rFonts w:ascii="Arial" w:hAnsi="Arial"/>
        </w:rPr>
        <w:t>The provision of utility consolidated billing combined with restructuring of upstream transmission and storage operations can have a significant impact on competition.    In Ohio, over 40 percent of Columbia Natural Gas of Ohio’s customers purchase gas from suppliers other than the utility; but what is important to note is that almost 100 percent of small customers who have switched to an ESP are served by suppliers who opted for utility consolidated billing.</w:t>
      </w:r>
      <w:r>
        <w:rPr>
          <w:rStyle w:val="FootnoteReference"/>
          <w:rFonts w:ascii="Arial" w:hAnsi="Arial"/>
        </w:rPr>
        <w:footnoteReference w:id="12"/>
      </w:r>
      <w:r>
        <w:rPr>
          <w:rFonts w:ascii="Arial" w:hAnsi="Arial"/>
        </w:rPr>
        <w:t xml:space="preserve">      SoCalGas believes the utility consolidated billing option will bring new ESPs into the southern California marketplace to serve the residential and small business segment as experienced in Ohio. </w:t>
      </w:r>
    </w:p>
    <w:p>
      <w:pPr>
        <w:pStyle w:val="Bullet3"/>
        <w:bidi w:val="0"/>
        <w:spacing w:lineRule="auto" w:line="360" w:before="240" w:after="0"/>
        <w:ind w:firstLine="720" w:start="0"/>
        <w:jc w:val="start"/>
        <w:rPr>
          <w:rFonts w:ascii="Times New Roman" w:hAnsi="Times New Roman"/>
        </w:rPr>
      </w:pPr>
      <w:r>
        <w:rPr>
          <w:rFonts w:ascii="Arial" w:hAnsi="Arial"/>
        </w:rPr>
        <w:t>Similarly, the alignment of gas and electric rules in the billing area will have a similar impact on ESPs currently serving the residential and small businesses in the California electric market.    Hopefully, changing the gas rules will lower barriers so that many of these companies will enter the gas market in California to provide more options to gas customers.</w:t>
      </w:r>
    </w:p>
    <w:p>
      <w:pPr>
        <w:pStyle w:val="Normal"/>
        <w:bidi w:val="0"/>
        <w:spacing w:lineRule="auto" w:line="360" w:before="240" w:after="0"/>
        <w:ind w:firstLine="720"/>
        <w:jc w:val="start"/>
        <w:rPr>
          <w:rFonts w:ascii="Arial" w:hAnsi="Arial"/>
          <w:sz w:val="24"/>
        </w:rPr>
      </w:pPr>
      <w:r>
        <w:rPr>
          <w:rFonts w:ascii="Arial" w:hAnsi="Arial"/>
          <w:sz w:val="24"/>
        </w:rPr>
        <w:t>The current SoCalGas gas billing system is not designed to handle utility consolidated billing.      The SoCalGas system cannot currently receive information electronically on rates or bill amount from outside service providers and reflect those charges on the bill.    The current SoCalGas billing system cannot track non-utility procurement charges to ensure ESP funds are properly processed.    The extent of changes to the gas billing system for SoCalGas is on the same order of magnitude as the electric companies experienced in electric industry restructuring.      The changes are less extensive for SDG&amp;E because it already offers consolidated billing for electricity and has already made extensive revisions to its customer information systems.    But, there are still significant costs to implement utility consolidated billing for SDG&amp;E.</w:t>
      </w:r>
    </w:p>
    <w:p>
      <w:pPr>
        <w:pStyle w:val="Normal"/>
        <w:bidi w:val="0"/>
        <w:spacing w:lineRule="auto" w:line="36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Consolidated billing is not easy to provide on a mass market basis when one considers all the information linkages and interfaces required to obtain the data from multiple ESPs regarding their large number of customer bills, providing enough flexibility for the ESPs to offer different prices to different customers, tracking revenue streams for both the utility and multiple ESPs properly, and providing timely and accurate revenue transfers to the ESPs.    Basic structure costs include changes to the “heart” of the customer information systems that will allow the following:</w:t>
      </w:r>
    </w:p>
    <w:p>
      <w:pPr>
        <w:pStyle w:val="Normal"/>
        <w:bidi w:val="0"/>
        <w:jc w:val="start"/>
        <w:rPr>
          <w:rFonts w:ascii="Arial" w:hAnsi="Arial"/>
          <w:sz w:val="24"/>
        </w:rPr>
      </w:pPr>
      <w:r>
        <w:rPr>
          <w:rFonts w:ascii="Arial" w:hAnsi="Arial"/>
          <w:sz w:val="24"/>
        </w:rPr>
      </w:r>
    </w:p>
    <w:p>
      <w:pPr>
        <w:pStyle w:val="Normal"/>
        <w:numPr>
          <w:ilvl w:val="0"/>
          <w:numId w:val="1"/>
        </w:numPr>
        <w:tabs>
          <w:tab w:val="left" w:pos="360" w:leader="none"/>
          <w:tab w:val="right" w:pos="7200" w:leader="none"/>
          <w:tab w:val="right" w:pos="8640" w:leader="none"/>
        </w:tabs>
        <w:bidi w:val="0"/>
        <w:ind w:hanging="360" w:start="360"/>
        <w:jc w:val="start"/>
        <w:rPr>
          <w:rFonts w:ascii="Arial" w:hAnsi="Arial"/>
          <w:sz w:val="24"/>
        </w:rPr>
      </w:pPr>
      <w:r>
        <w:rPr>
          <w:rFonts w:ascii="Arial" w:hAnsi="Arial"/>
          <w:sz w:val="24"/>
        </w:rPr>
        <w:t>Segregation of charges/revenue by business entity including bill charges, taxes, payments, etc.</w:t>
        <w:tab/>
      </w:r>
    </w:p>
    <w:p>
      <w:pPr>
        <w:pStyle w:val="BodyText"/>
        <w:numPr>
          <w:ilvl w:val="0"/>
          <w:numId w:val="1"/>
        </w:numPr>
        <w:tabs>
          <w:tab w:val="left" w:pos="360" w:leader="none"/>
          <w:tab w:val="right" w:pos="7200" w:leader="none"/>
          <w:tab w:val="right" w:pos="8640" w:leader="none"/>
        </w:tabs>
        <w:bidi w:val="0"/>
        <w:ind w:hanging="360" w:start="360"/>
        <w:jc w:val="start"/>
        <w:rPr>
          <w:rFonts w:ascii="Arial" w:hAnsi="Arial"/>
        </w:rPr>
      </w:pPr>
      <w:r>
        <w:rPr>
          <w:rFonts w:ascii="Arial" w:hAnsi="Arial"/>
        </w:rPr>
        <w:t>Payment allocation by charge type/business entity</w:t>
      </w:r>
    </w:p>
    <w:p>
      <w:pPr>
        <w:pStyle w:val="BodyTextContinued"/>
        <w:widowControl w:val="false"/>
        <w:bidi w:val="0"/>
        <w:spacing w:before="0" w:after="240"/>
        <w:ind w:hanging="0" w:start="0"/>
        <w:jc w:val="start"/>
        <w:rPr/>
      </w:pPr>
      <w:r>
        <w:rPr/>
      </w:r>
    </w:p>
    <w:p>
      <w:pPr>
        <w:pStyle w:val="Normal"/>
        <w:numPr>
          <w:ilvl w:val="0"/>
          <w:numId w:val="1"/>
        </w:numPr>
        <w:tabs>
          <w:tab w:val="left" w:pos="360" w:leader="none"/>
          <w:tab w:val="right" w:pos="7200" w:leader="none"/>
          <w:tab w:val="right" w:pos="8640" w:leader="none"/>
        </w:tabs>
        <w:bidi w:val="0"/>
        <w:ind w:hanging="360" w:start="360"/>
        <w:jc w:val="start"/>
        <w:rPr>
          <w:rFonts w:ascii="Arial" w:hAnsi="Arial"/>
          <w:sz w:val="24"/>
        </w:rPr>
      </w:pPr>
      <w:r>
        <w:rPr>
          <w:rFonts w:ascii="Arial" w:hAnsi="Arial"/>
          <w:sz w:val="24"/>
        </w:rPr>
        <w:t>Bill format/print changes to accommodate ESP information.</w:t>
      </w:r>
    </w:p>
    <w:p>
      <w:pPr>
        <w:pStyle w:val="Normal"/>
        <w:tabs>
          <w:tab w:val="left" w:pos="360" w:leader="none"/>
          <w:tab w:val="right" w:pos="7200" w:leader="none"/>
          <w:tab w:val="right" w:pos="8640" w:leader="none"/>
        </w:tabs>
        <w:bidi w:val="0"/>
        <w:jc w:val="start"/>
        <w:rPr>
          <w:rFonts w:ascii="Arial" w:hAnsi="Arial"/>
          <w:sz w:val="24"/>
        </w:rPr>
      </w:pPr>
      <w:r>
        <w:rPr>
          <w:rFonts w:ascii="Arial" w:hAnsi="Arial"/>
          <w:sz w:val="24"/>
        </w:rPr>
      </w:r>
    </w:p>
    <w:p>
      <w:pPr>
        <w:pStyle w:val="BodyText"/>
        <w:numPr>
          <w:ilvl w:val="0"/>
          <w:numId w:val="1"/>
        </w:numPr>
        <w:tabs>
          <w:tab w:val="left" w:pos="360" w:leader="none"/>
          <w:tab w:val="right" w:pos="7200" w:leader="none"/>
          <w:tab w:val="right" w:pos="8640" w:leader="none"/>
        </w:tabs>
        <w:bidi w:val="0"/>
        <w:spacing w:before="0" w:after="0"/>
        <w:ind w:hanging="360" w:start="360"/>
        <w:jc w:val="start"/>
        <w:rPr>
          <w:rFonts w:ascii="Arial" w:hAnsi="Arial"/>
        </w:rPr>
      </w:pPr>
      <w:r>
        <w:rPr>
          <w:rFonts w:ascii="Arial" w:hAnsi="Arial"/>
        </w:rPr>
        <w:t>Billing function changes to separately track ESP charges, changes to the bill adjustment process, etc.</w:t>
        <w:tab/>
        <w:tab/>
      </w:r>
    </w:p>
    <w:p>
      <w:pPr>
        <w:pStyle w:val="BodyText"/>
        <w:numPr>
          <w:ilvl w:val="0"/>
          <w:numId w:val="1"/>
        </w:numPr>
        <w:tabs>
          <w:tab w:val="left" w:pos="360" w:leader="none"/>
          <w:tab w:val="right" w:pos="7200" w:leader="none"/>
          <w:tab w:val="right" w:pos="8640" w:leader="none"/>
        </w:tabs>
        <w:bidi w:val="0"/>
        <w:ind w:hanging="360" w:start="360"/>
        <w:jc w:val="start"/>
        <w:rPr>
          <w:rFonts w:ascii="Arial" w:hAnsi="Arial"/>
        </w:rPr>
      </w:pPr>
      <w:r>
        <w:rPr>
          <w:rFonts w:ascii="Arial" w:hAnsi="Arial"/>
        </w:rPr>
        <w:t>Additional storage of information on different ESP charge types</w:t>
      </w:r>
    </w:p>
    <w:p>
      <w:pPr>
        <w:pStyle w:val="BodyText"/>
        <w:numPr>
          <w:ilvl w:val="0"/>
          <w:numId w:val="1"/>
        </w:numPr>
        <w:tabs>
          <w:tab w:val="left" w:pos="360" w:leader="none"/>
          <w:tab w:val="right" w:pos="7200" w:leader="none"/>
          <w:tab w:val="right" w:pos="8640" w:leader="none"/>
        </w:tabs>
        <w:bidi w:val="0"/>
        <w:ind w:hanging="360" w:start="360"/>
        <w:jc w:val="start"/>
        <w:rPr>
          <w:rFonts w:ascii="Arial" w:hAnsi="Arial"/>
        </w:rPr>
      </w:pPr>
      <w:r>
        <w:rPr>
          <w:rFonts w:ascii="Arial" w:hAnsi="Arial"/>
        </w:rPr>
        <w:t>Collections process for ESP balances</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r>
    </w:p>
    <w:p>
      <w:pPr>
        <w:pStyle w:val="BodyTextContinued"/>
        <w:widowControl w:val="false"/>
        <w:bidi w:val="0"/>
        <w:spacing w:before="0" w:after="240"/>
        <w:ind w:hanging="0" w:start="0"/>
        <w:jc w:val="start"/>
        <w:rPr/>
      </w:pPr>
      <w:r>
        <w:rPr>
          <w:rFonts w:ascii="Arial" w:hAnsi="Arial"/>
        </w:rPr>
        <w:t xml:space="preserve">The cost to offer utility consolidated billing is $4.4 million in systems development costs for SoCalGas.    The basic structure to perform the above functions costs $2.3 million. The interface cost, to transfer appropriate billing and accounting information between all affected utility systems and ESPs, is $1.6 million.    The Bill Ready option, that would add an image of the ESP bill,    and Rate Ready option, that would calculate the ESP bill from ESP-provided rates, have a total cost of $ 0.5 million. </w:t>
      </w:r>
    </w:p>
    <w:p>
      <w:pPr>
        <w:pStyle w:val="BodyText"/>
        <w:bidi w:val="0"/>
        <w:spacing w:lineRule="auto" w:line="360"/>
        <w:ind w:firstLine="720" w:start="0"/>
        <w:jc w:val="start"/>
        <w:rPr>
          <w:rFonts w:ascii="Arial" w:hAnsi="Arial"/>
        </w:rPr>
      </w:pPr>
      <w:r>
        <w:rPr>
          <w:rFonts w:ascii="Arial" w:hAnsi="Arial"/>
        </w:rPr>
        <w:t xml:space="preserve">The cost for SDG&amp;E to offer utility consolidated billing for gas is $1.3 million.    The programming changes include the cost to perform bill calculations ($0.3 million), bill formatting ($0.2 million), order processing ($0.4 million), and interval meter reading ($0.2 million).    The interface cost, to transfer appropriate billing and accounting information between utility systems and ESPs, is $0.2 million.    </w:t>
      </w:r>
    </w:p>
    <w:p>
      <w:pPr>
        <w:pStyle w:val="BodyText"/>
        <w:bidi w:val="0"/>
        <w:spacing w:lineRule="auto" w:line="360"/>
        <w:ind w:firstLine="720" w:start="0"/>
        <w:jc w:val="start"/>
        <w:rPr>
          <w:rFonts w:ascii="Arial" w:hAnsi="Arial"/>
        </w:rPr>
      </w:pPr>
      <w:r>
        <w:rPr>
          <w:rFonts w:ascii="Arial" w:hAnsi="Arial"/>
        </w:rPr>
        <w:t xml:space="preserve">One-time O&amp;M costs include the development of materials and training for Billing, Phone Center, Credit and Order Processing personnel on new processes and system changes.    Additionally, call volumes are expected to increase due to bill format changes and inquiries about procurement choices.    Finally, calls from ESPs regarding processes and data will be high during the first year of implementation.    The total of these one-time O&amp;M costs is expected to be $920,000 for SoCalGas and $200,000 for SDG&amp;E.    </w:t>
      </w:r>
    </w:p>
    <w:p>
      <w:pPr>
        <w:pStyle w:val="BodyText"/>
        <w:bidi w:val="0"/>
        <w:spacing w:lineRule="auto" w:line="360"/>
        <w:ind w:firstLine="720" w:start="0"/>
        <w:jc w:val="start"/>
        <w:rPr>
          <w:rFonts w:ascii="Arial" w:hAnsi="Arial"/>
        </w:rPr>
      </w:pPr>
      <w:r>
        <w:rPr>
          <w:rFonts w:ascii="Arial" w:hAnsi="Arial"/>
        </w:rPr>
        <w:t xml:space="preserve">On-going O&amp;M costs associated with utility consolidated billing include increased mailing expense for two-page page bills, clerical staff to answer additional customer and ESP inquiries concerning industry restructuring and billing practices, and increased account investigation for ESPs.    Additionally, new account reconciliation processes in will be required to monitor and reconcile payments due to ESPs and adjustments to ESP accounts.    The total of these on-going O&amp;M costs is proportionally related to the number of customers participating in utility consolidated billing.    </w:t>
      </w:r>
    </w:p>
    <w:p>
      <w:pPr>
        <w:pStyle w:val="BodyText"/>
        <w:bidi w:val="0"/>
        <w:spacing w:lineRule="auto" w:line="360"/>
        <w:ind w:firstLine="720" w:start="0"/>
        <w:jc w:val="start"/>
        <w:rPr>
          <w:rFonts w:ascii="Times New Roman" w:hAnsi="Times New Roman"/>
        </w:rPr>
      </w:pPr>
      <w:r>
        <w:rPr/>
      </w:r>
    </w:p>
    <w:p>
      <w:pPr>
        <w:pStyle w:val="BodyTextContinued"/>
        <w:widowControl w:val="false"/>
        <w:bidi w:val="0"/>
        <w:spacing w:before="0" w:after="240"/>
        <w:ind w:hanging="0" w:start="0"/>
        <w:jc w:val="start"/>
        <w:rPr/>
      </w:pPr>
      <w:r>
        <w:rPr>
          <w:rFonts w:ascii="Arial" w:hAnsi="Arial"/>
          <w:b/>
        </w:rPr>
        <w:t>D.      Terminate Information-only Bill Requirement</w:t>
      </w:r>
      <w:r>
        <w:rPr>
          <w:rFonts w:ascii="Arial" w:hAnsi="Arial"/>
        </w:rPr>
        <w:t xml:space="preserve"> </w:t>
      </w:r>
      <w:r>
        <w:rPr>
          <w:rFonts w:ascii="Arial" w:hAnsi="Arial"/>
          <w:b/>
        </w:rPr>
        <w:t xml:space="preserve"> </w:t>
      </w:r>
    </w:p>
    <w:p>
      <w:pPr>
        <w:pStyle w:val="BodyTextContinued"/>
        <w:widowControl w:val="false"/>
        <w:bidi w:val="0"/>
        <w:spacing w:before="0" w:after="240"/>
        <w:ind w:hanging="0" w:start="0"/>
        <w:jc w:val="start"/>
        <w:rPr/>
      </w:pPr>
      <w:r>
        <w:rPr>
          <w:rFonts w:ascii="Arial" w:hAnsi="Arial"/>
        </w:rPr>
        <w:t>(Promising Option numbered 3 above and Section 7.2.4 of Settlement Agreement)</w:t>
      </w:r>
    </w:p>
    <w:p>
      <w:pPr>
        <w:pStyle w:val="BodyTextContinued"/>
        <w:widowControl w:val="false"/>
        <w:bidi w:val="0"/>
        <w:spacing w:before="0" w:after="240"/>
        <w:ind w:hanging="0" w:start="0"/>
        <w:jc w:val="start"/>
        <w:rPr/>
      </w:pPr>
      <w:r>
        <w:rPr/>
      </w:r>
    </w:p>
    <w:p>
      <w:pPr>
        <w:pStyle w:val="BodyTextContinued"/>
        <w:widowControl w:val="false"/>
        <w:bidi w:val="0"/>
        <w:spacing w:before="0" w:after="240"/>
        <w:ind w:hanging="0" w:start="0"/>
        <w:jc w:val="start"/>
        <w:rPr/>
      </w:pPr>
      <w:r>
        <w:rPr>
          <w:rFonts w:ascii="Arial" w:hAnsi="Arial"/>
        </w:rPr>
        <w:t>Currently, another difference between the electric industry and the natural gas industry is the Commission-ordered practice for the gas utility to send the customer an information-only bill under the CTA program if an ESP performs CTA consolidated billing.    This procedure protects consumers, but the protection can be created at a far lesser cost through the provisions in the Settlement.    Elimination of this requirement reduces costs incurred by the utility and its customers, and increases the credit available for customers that obtain billing services from an ESP as provided under the Settlement.    Consistency across fuels is also furthered by this proposal as no such requirement exists in the electric industry.</w:t>
      </w:r>
    </w:p>
    <w:p>
      <w:pPr>
        <w:pStyle w:val="Bullet3"/>
        <w:bidi w:val="0"/>
        <w:spacing w:lineRule="auto" w:line="360"/>
        <w:ind w:firstLine="720" w:start="0"/>
        <w:jc w:val="start"/>
        <w:rPr>
          <w:rFonts w:ascii="Arial" w:hAnsi="Arial"/>
        </w:rPr>
      </w:pPr>
      <w:r>
        <w:rPr>
          <w:rFonts w:ascii="Arial" w:hAnsi="Arial"/>
        </w:rPr>
        <w:t xml:space="preserve">The Settlement replaces the gas utility practice of sending an information-only bill with a more efficient alternative.    It is proposed in the Settlement Agreement that for those ESPs who provide consolidated CTA billing to their customers and who provide information on the monthly utility gas transportation charges and rate data, along with the requisite bill inserts and customer protection materials, in each end-user bill, the requirement for an information-only bill is discontinued.    The consumer is protected in having the utility rates and charges clearly displayed in the ESP consolidated bill and in receiving all requisite informational materials that would be received directly from the utility.    </w:t>
      </w:r>
    </w:p>
    <w:p>
      <w:pPr>
        <w:pStyle w:val="Bullet3"/>
        <w:bidi w:val="0"/>
        <w:spacing w:lineRule="auto" w:line="360"/>
        <w:ind w:firstLine="720" w:start="0"/>
        <w:jc w:val="start"/>
        <w:rPr>
          <w:rFonts w:ascii="Arial" w:hAnsi="Arial"/>
        </w:rPr>
      </w:pPr>
      <w:r>
        <w:rPr>
          <w:rFonts w:ascii="Arial" w:hAnsi="Arial"/>
        </w:rPr>
      </w:r>
    </w:p>
    <w:p>
      <w:pPr>
        <w:pStyle w:val="Bullet3"/>
        <w:bidi w:val="0"/>
        <w:spacing w:lineRule="auto" w:line="360"/>
        <w:ind w:firstLine="720" w:start="0"/>
        <w:jc w:val="start"/>
        <w:rPr>
          <w:rFonts w:ascii="Arial" w:hAnsi="Arial"/>
        </w:rPr>
      </w:pPr>
      <w:r>
        <w:rPr>
          <w:rFonts w:ascii="Arial" w:hAnsi="Arial"/>
        </w:rPr>
        <w:t>This approach follows the requirements for consolidated ESP billing in the electric industry.    By not sending the information-only bill, the utility saves the postage, materials, and other costs which can be passed on to the consumer in the billing credit.    There are no safety issues since all safety-related materials must be provided to customers by the ESP.    There are no labor issues since the sending of the information-only bill is fully automated.</w:t>
      </w:r>
    </w:p>
    <w:p>
      <w:pPr>
        <w:pStyle w:val="Bullet3"/>
        <w:bidi w:val="0"/>
        <w:spacing w:lineRule="auto" w:line="360"/>
        <w:ind w:firstLine="720" w:start="0"/>
        <w:jc w:val="start"/>
        <w:rPr>
          <w:rFonts w:ascii="Arial" w:hAnsi="Arial"/>
          <w:i/>
          <w:i/>
        </w:rPr>
      </w:pPr>
      <w:r>
        <w:rPr>
          <w:rFonts w:ascii="Arial" w:hAnsi="Arial"/>
          <w:i/>
        </w:rPr>
      </w:r>
    </w:p>
    <w:p>
      <w:pPr>
        <w:pStyle w:val="BodyText"/>
        <w:bidi w:val="0"/>
        <w:ind w:hanging="0" w:start="0"/>
        <w:jc w:val="start"/>
        <w:rPr>
          <w:rFonts w:ascii="Arial" w:hAnsi="Arial"/>
          <w:b/>
          <w:i/>
          <w:i/>
        </w:rPr>
      </w:pPr>
      <w:r>
        <w:rPr>
          <w:rFonts w:ascii="Arial" w:hAnsi="Arial"/>
          <w:b/>
          <w:i/>
        </w:rPr>
        <w:t xml:space="preserve">E.      Provide Avoided Cost Credits for CTA Consolidated Billing </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4 above and Section 7.2.5 of Settlement Agreement)</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 xml:space="preserve">The Settlement Agreement provides for ESPs that perform consolidated billing to receive billing credits on an avoided cost basis.    Currently, ESPs do not receive any billing credits from SoCalGas. The billing credits for SoCalGas of $0.78 for each residential bill and $1.16 for each non-residential bill are related to utility cost savings in the areas of bill distribution, remittance processing, collections, uncollectible expenses, and billing inquiries.    These values are based on a SoCalGas study of 1997 data.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Similarly, the billing credits for SDG&amp;E of $0.05 for each residential bill and $0.16 for each non-residential bill are related to utility cost savings in the area of uncollectible expenses.    SDG&amp;E currently provides avoided cost billing credits of $1.41 for residential customers that receive both gas and electric service from an ESP and $1.58 for nonresidential customers that receive both gas and electric service from an ESP related to utility cost savings in the areas of bill distribution, remittance processing, collections, electric uncollectible expenses, and billing inquiries.    The added avoided cost billing credit would be for the gas transportation uncollectible expenses.</w:t>
      </w:r>
      <w:r>
        <w:rPr>
          <w:rStyle w:val="FootnoteReference"/>
          <w:rFonts w:ascii="Arial" w:hAnsi="Arial"/>
        </w:rPr>
        <w:footnoteReference w:id="13"/>
      </w:r>
      <w:r>
        <w:rPr>
          <w:rFonts w:ascii="Arial" w:hAnsi="Arial"/>
          <w:sz w:val="24"/>
        </w:rPr>
        <w:t xml:space="preserve">      These values are based on a SDG&amp;E study of 1997 data presented in I.xx-xx-xxxx.      </w:t>
      </w:r>
    </w:p>
    <w:p>
      <w:pPr>
        <w:pStyle w:val="PlainText"/>
        <w:bidi w:val="0"/>
        <w:spacing w:lineRule="auto" w:line="360"/>
        <w:ind w:firstLine="720"/>
        <w:jc w:val="start"/>
        <w:rPr>
          <w:rFonts w:ascii="Arial" w:hAnsi="Arial"/>
          <w:sz w:val="24"/>
        </w:rPr>
      </w:pPr>
      <w:r>
        <w:rPr>
          <w:rFonts w:ascii="Arial" w:hAnsi="Arial"/>
          <w:sz w:val="24"/>
        </w:rPr>
      </w:r>
    </w:p>
    <w:p>
      <w:pPr>
        <w:pStyle w:val="PlainText"/>
        <w:bidi w:val="0"/>
        <w:spacing w:lineRule="auto" w:line="360"/>
        <w:ind w:firstLine="720"/>
        <w:jc w:val="start"/>
        <w:rPr>
          <w:rFonts w:ascii="Arial" w:hAnsi="Arial"/>
          <w:sz w:val="24"/>
        </w:rPr>
      </w:pPr>
      <w:r>
        <w:rPr>
          <w:rFonts w:ascii="Arial" w:hAnsi="Arial"/>
          <w:sz w:val="24"/>
        </w:rPr>
        <w:t>This type of billing credit is expressly contemplated and permitted in AB 1421:    “If the Commission establishes credits for services provided by the gas corporation to core aggregation or noncore customers who obtain billing or collection services from entities other than the gas corporation, the credit shall be equal to the billing and collections services costs actually avoided by the gas corporation.”    The billing credits for SoCalGas and SDG&amp;E fully comply with the requirements of AB 1421.</w:t>
      </w:r>
    </w:p>
    <w:p>
      <w:pPr>
        <w:pStyle w:val="BodyText"/>
        <w:bidi w:val="0"/>
        <w:spacing w:lineRule="auto" w:line="360"/>
        <w:ind w:firstLine="720" w:start="0"/>
        <w:jc w:val="start"/>
        <w:rPr>
          <w:rFonts w:ascii="Arial" w:hAnsi="Arial"/>
        </w:rPr>
      </w:pPr>
      <w:r>
        <w:rPr>
          <w:rFonts w:ascii="Arial" w:hAnsi="Arial"/>
        </w:rPr>
        <w:t xml:space="preserve">While the avoided cost credits are based on utility studies and are reasonable for the purposes of this Settlement, the parties recognize they have differing views with regard to the methodology of calculating avoided cost credits.    Therefore, the parties to the Settlement agreed that the level of billing credits is assumed for purposes of this settlement only and will not be precedential nor admissible in any subsequent regulatory proceeding for the purpose of determining the avoided cost billing credits for SoCalGas and SDG&amp;E.      </w:t>
      </w:r>
    </w:p>
    <w:p>
      <w:pPr>
        <w:pStyle w:val="BodyText"/>
        <w:bidi w:val="0"/>
        <w:spacing w:lineRule="auto" w:line="360"/>
        <w:ind w:firstLine="720" w:start="0"/>
        <w:jc w:val="start"/>
        <w:rPr>
          <w:rFonts w:ascii="Arial" w:hAnsi="Arial"/>
        </w:rPr>
      </w:pPr>
      <w:r>
        <w:rPr>
          <w:rFonts w:ascii="Arial" w:hAnsi="Arial"/>
        </w:rPr>
        <w:t>The parties to the Settlement agreed to explore the methodology underlying the calculation of the avoided cost billing credits and resolve differences in methodology and update the avoided costs based on more current data by January 1, 2002.    The parties expect to be able to negotiate new avoided cost credits by that date, but if they are unable to come to agreement, SoCalGas and SDG&amp;E will file new gas avoided cost credits in the first quarter of 2002 to be able to put new billing credits in place by January 1, 2003.</w:t>
      </w:r>
    </w:p>
    <w:p>
      <w:pPr>
        <w:pStyle w:val="BodyTextContinued"/>
        <w:widowControl w:val="false"/>
        <w:bidi w:val="0"/>
        <w:spacing w:before="0" w:after="240"/>
        <w:ind w:hanging="0" w:start="0"/>
        <w:jc w:val="start"/>
        <w:rPr/>
      </w:pPr>
      <w:r>
        <w:rPr/>
      </w:r>
    </w:p>
    <w:p>
      <w:pPr>
        <w:pStyle w:val="BodyTextContinued"/>
        <w:widowControl w:val="false"/>
        <w:bidi w:val="0"/>
        <w:spacing w:before="0" w:after="240"/>
        <w:ind w:hanging="0" w:start="0"/>
        <w:jc w:val="start"/>
        <w:rPr/>
      </w:pPr>
      <w:r>
        <w:rPr>
          <w:rFonts w:ascii="Arial" w:hAnsi="Arial"/>
        </w:rPr>
        <w:t>SoCalGas and SDG&amp;E anticipate only a small labor impact from implementation of avoided cost credits for ESP consolidated billing.    The principal activities that would be reduced for SoCalGas are the printing, inserting and mailing of customer bills and the associated remittance processing of those bills, which are highly automated processes.    SoCalGas does not anticipate a significant reduction in customer inquiry call volume.    If customers have questions about their bills, it is likely that the call will come to the utility regardless of who is responsible for bill presentation, since SoCalGas is responsible for the meter read.    Likewise, SoCalGas will continue to receive all emergency and other service calls.    The SDG&amp;E gas billing credit reflects only uncollectible expenses and no reduction in services currently provided and so projects no labor impact above what already exists based on the currently provided avoided cost billing credits.</w:t>
      </w:r>
    </w:p>
    <w:p>
      <w:pPr>
        <w:pStyle w:val="BodyText"/>
        <w:bidi w:val="0"/>
        <w:jc w:val="start"/>
        <w:rPr>
          <w:rFonts w:ascii="Arial" w:hAnsi="Arial"/>
        </w:rPr>
      </w:pPr>
      <w:r>
        <w:rPr>
          <w:rFonts w:ascii="Arial" w:hAnsi="Arial"/>
        </w:rPr>
      </w:r>
    </w:p>
    <w:p>
      <w:pPr>
        <w:pStyle w:val="BodyTextContinued"/>
        <w:widowControl w:val="false"/>
        <w:bidi w:val="0"/>
        <w:spacing w:before="0" w:after="240"/>
        <w:ind w:hanging="0" w:start="0"/>
        <w:jc w:val="start"/>
        <w:rPr/>
      </w:pPr>
      <w:r>
        <w:rPr>
          <w:rFonts w:ascii="Arial" w:hAnsi="Arial"/>
        </w:rPr>
        <w:t xml:space="preserve">SoCalGas and SDG&amp;E do not see any safety issues associated with the processes of ESP consolidated billing provided that utilities continue to perform the bill calculation and maintain a consumption history for utility transportation services.    The process of validating consumption does have safety implications, as unusual consumption could be indicative of a gas leak or other hazardous conditions at the meter set assembly.    As long as utilities continue to retain consumption validation responsibility and bill calculation for transmission and distribution charges as contemplated in this Settlement Agreement, there are no safety concerns with ESP consolidated billing. </w:t>
      </w:r>
    </w:p>
    <w:p>
      <w:pPr>
        <w:pStyle w:val="BodyText"/>
        <w:tabs>
          <w:tab w:val="clear" w:pos="360"/>
          <w:tab w:val="left" w:pos="0" w:leader="none"/>
        </w:tabs>
        <w:bidi w:val="0"/>
        <w:spacing w:lineRule="auto" w:line="360"/>
        <w:ind w:firstLine="720" w:start="0"/>
        <w:jc w:val="start"/>
        <w:rPr>
          <w:rFonts w:ascii="Arial" w:hAnsi="Arial"/>
        </w:rPr>
      </w:pPr>
      <w:r>
        <w:rPr>
          <w:rFonts w:ascii="Arial" w:hAnsi="Arial"/>
        </w:rPr>
        <w:t xml:space="preserve">The display of billing credits on the bill should be consistent with the methods used in electric restructuring to avoid customer confusion.    SoCalGas and SDG&amp;E will deliver the credits to those customers receiving consolidated billing services from their respective ESPs as a line item on the utility customer specific billing data provided to ESPs (and shown on the ESP consolidated bill to these customers) as soon as the billing system changes can be made.    This bill format change will promote statewide consistency and consistency across fuels. </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r>
    </w:p>
    <w:p>
      <w:pPr>
        <w:pStyle w:val="Normal"/>
        <w:bidi w:val="0"/>
        <w:jc w:val="start"/>
        <w:rPr>
          <w:rFonts w:ascii="Arial" w:hAnsi="Arial"/>
          <w:b/>
          <w:i/>
          <w:i/>
          <w:sz w:val="24"/>
        </w:rPr>
      </w:pPr>
      <w:r>
        <w:rPr>
          <w:rFonts w:ascii="Arial" w:hAnsi="Arial"/>
          <w:b/>
          <w:i/>
          <w:sz w:val="24"/>
        </w:rPr>
        <w:t>E.      Re-Examine Core Procurement</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5 above and Section 5.1 of Settlement Agreement)</w:t>
      </w:r>
    </w:p>
    <w:p>
      <w:pPr>
        <w:pStyle w:val="BodyText"/>
        <w:widowControl/>
        <w:bidi w:val="0"/>
        <w:spacing w:lineRule="auto" w:line="360"/>
        <w:ind w:firstLine="720" w:start="0"/>
        <w:jc w:val="start"/>
        <w:rPr>
          <w:rFonts w:ascii="Arial" w:hAnsi="Arial"/>
          <w:color w:val="000000"/>
        </w:rPr>
      </w:pPr>
      <w:r>
        <w:rPr>
          <w:rFonts w:ascii="Arial" w:hAnsi="Arial"/>
          <w:color w:val="000000"/>
        </w:rPr>
        <w:t>In discussions, parties to the Settlement Agreement felt that there could be some additional benefits to enabling competition by exploring different treatments of core gas procurement and exploring related utility incentives.    However, given the time frame, the parties were unable to fully consider new, potentially beneficial arrangements.    Therefore, the parties agreed to use their respective best efforts to negotiate and enter into a separate settlement agreement on the following two issues within three months after Commission approval of this Settlement Agreement:</w:t>
      </w:r>
    </w:p>
    <w:p>
      <w:pPr>
        <w:pStyle w:val="BodyText"/>
        <w:widowControl/>
        <w:numPr>
          <w:ilvl w:val="0"/>
          <w:numId w:val="3"/>
        </w:numPr>
        <w:tabs>
          <w:tab w:val="left" w:pos="360" w:leader="none"/>
          <w:tab w:val="left" w:pos="720" w:leader="none"/>
          <w:tab w:val="left" w:pos="1440" w:leader="none"/>
        </w:tabs>
        <w:bidi w:val="0"/>
        <w:spacing w:lineRule="auto" w:line="360"/>
        <w:jc w:val="start"/>
        <w:rPr>
          <w:rFonts w:ascii="Arial" w:hAnsi="Arial"/>
          <w:color w:val="000000"/>
        </w:rPr>
      </w:pPr>
      <w:r>
        <w:rPr>
          <w:rFonts w:ascii="Arial" w:hAnsi="Arial"/>
          <w:color w:val="000000"/>
        </w:rPr>
        <w:t>Consideration of competitive alternatives for providing procurement service to customers who do not choose a competitive provider.    Such alternatives to be considered shall include, but not be limited to, physical separation of the utility gas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gas procurement functions; and</w:t>
      </w:r>
    </w:p>
    <w:p>
      <w:pPr>
        <w:pStyle w:val="BodyText2"/>
        <w:widowControl/>
        <w:numPr>
          <w:ilvl w:val="0"/>
          <w:numId w:val="3"/>
        </w:numPr>
        <w:tabs>
          <w:tab w:val="left" w:pos="360" w:leader="none"/>
        </w:tabs>
        <w:bidi w:val="0"/>
        <w:spacing w:lineRule="auto" w:line="360" w:before="240" w:after="120"/>
        <w:jc w:val="start"/>
        <w:rPr>
          <w:rFonts w:ascii="Arial" w:hAnsi="Arial"/>
          <w:sz w:val="24"/>
        </w:rPr>
      </w:pPr>
      <w:r>
        <w:rPr>
          <w:color w:val="000000"/>
          <w:sz w:val="24"/>
        </w:rPr>
        <w:t xml:space="preserve">Consideration of performance mechanisms to provide SoCalGas and SDG&amp;E with financial incentives, including, but not limited to, new performance incentive mechanisms based on objective measures of how well the utilities provide service to competitive suppliers </w:t>
      </w:r>
      <w:r>
        <w:rPr>
          <w:sz w:val="24"/>
        </w:rPr>
        <w:t>(ESPs) and their effectiveness in implementing any changes proposed or adopted for gas commodity procurement services.</w:t>
      </w:r>
    </w:p>
    <w:p>
      <w:pPr>
        <w:pStyle w:val="Normal"/>
        <w:bidi w:val="0"/>
        <w:jc w:val="start"/>
        <w:rPr>
          <w:rFonts w:ascii="Arial" w:hAnsi="Arial"/>
          <w:sz w:val="24"/>
        </w:rPr>
      </w:pPr>
      <w:r>
        <w:rPr>
          <w:rFonts w:ascii="Arial" w:hAnsi="Arial"/>
          <w:sz w:val="24"/>
        </w:rPr>
      </w:r>
    </w:p>
    <w:p>
      <w:pPr>
        <w:pStyle w:val="BodyTextIndent3"/>
        <w:bidi w:val="0"/>
        <w:spacing w:lineRule="auto" w:line="360"/>
        <w:ind w:firstLine="720" w:start="0"/>
        <w:jc w:val="start"/>
        <w:rPr>
          <w:rFonts w:ascii="Arial" w:hAnsi="Arial"/>
          <w:sz w:val="24"/>
        </w:rPr>
      </w:pPr>
      <w:r>
        <w:rPr>
          <w:rFonts w:ascii="Arial" w:hAnsi="Arial"/>
          <w:sz w:val="24"/>
        </w:rPr>
        <w:t>The settlement of the foregoing two issues will consider the economic value to core ratepayers and the utilities' shareholders from the current practices used to provide these services; consumer protection; and promotion of competition.    If the parties cannot reach agreement on both issues within such three-month period, SoCalGas and SDG&amp;E will, within six months after Commission approval of this Settlement, file an application with a proposal to address these issues.</w:t>
      </w:r>
    </w:p>
    <w:p>
      <w:pPr>
        <w:pStyle w:val="Heading2"/>
        <w:numPr>
          <w:ilvl w:val="0"/>
          <w:numId w:val="0"/>
        </w:numPr>
        <w:bidi w:val="0"/>
        <w:ind w:hanging="0" w:start="0"/>
        <w:jc w:val="start"/>
        <w:outlineLvl w:val="1"/>
        <w:rPr>
          <w:rFonts w:ascii="Arial" w:hAnsi="Arial"/>
          <w:b/>
          <w:i/>
          <w:i/>
          <w:sz w:val="24"/>
          <w:u w:val="none"/>
        </w:rPr>
      </w:pPr>
      <w:r>
        <w:rPr>
          <w:rFonts w:ascii="Arial" w:hAnsi="Arial"/>
          <w:b/>
          <w:i/>
          <w:sz w:val="24"/>
          <w:u w:val="none"/>
        </w:rPr>
      </w:r>
      <w:bookmarkStart w:id="2" w:name="_Toc472931266"/>
      <w:bookmarkStart w:id="3" w:name="_Toc472931330"/>
      <w:bookmarkStart w:id="4" w:name="_Toc472931266"/>
      <w:bookmarkStart w:id="5" w:name="_Toc472931330"/>
      <w:bookmarkEnd w:id="4"/>
      <w:bookmarkEnd w:id="5"/>
    </w:p>
    <w:p>
      <w:pPr>
        <w:pStyle w:val="Heading2"/>
        <w:numPr>
          <w:ilvl w:val="0"/>
          <w:numId w:val="0"/>
        </w:numPr>
        <w:bidi w:val="0"/>
        <w:ind w:hanging="0" w:start="0"/>
        <w:jc w:val="start"/>
        <w:outlineLvl w:val="1"/>
        <w:rPr>
          <w:rFonts w:ascii="Arial" w:hAnsi="Arial"/>
          <w:b/>
          <w:i/>
          <w:i/>
          <w:sz w:val="24"/>
          <w:u w:val="none"/>
        </w:rPr>
      </w:pPr>
      <w:r>
        <w:rPr>
          <w:rFonts w:ascii="Arial" w:hAnsi="Arial"/>
          <w:b/>
          <w:i/>
          <w:sz w:val="24"/>
          <w:u w:val="none"/>
        </w:rPr>
        <w:t xml:space="preserve">F.      Increase the Core Brokerage Fee </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6 above and Section 5.6 of Settlement Agreement)</w:t>
      </w:r>
    </w:p>
    <w:p>
      <w:pPr>
        <w:pStyle w:val="Heading2"/>
        <w:numPr>
          <w:ilvl w:val="0"/>
          <w:numId w:val="0"/>
        </w:numPr>
        <w:bidi w:val="0"/>
        <w:ind w:hanging="0" w:start="0"/>
        <w:jc w:val="start"/>
        <w:outlineLvl w:val="1"/>
        <w:rPr>
          <w:rFonts w:ascii="Arial" w:hAnsi="Arial"/>
          <w:sz w:val="24"/>
          <w:u w:val="none"/>
        </w:rPr>
      </w:pPr>
      <w:r>
        <w:rPr>
          <w:rFonts w:ascii="Arial" w:hAnsi="Arial"/>
          <w:b/>
          <w:i/>
          <w:sz w:val="24"/>
          <w:u w:val="none"/>
        </w:rPr>
        <w:t xml:space="preserve"> </w:t>
      </w:r>
    </w:p>
    <w:p>
      <w:pPr>
        <w:pStyle w:val="Bullet3"/>
        <w:bidi w:val="0"/>
        <w:spacing w:lineRule="auto" w:line="360"/>
        <w:ind w:firstLine="720" w:start="0"/>
        <w:jc w:val="start"/>
        <w:rPr>
          <w:rFonts w:ascii="Arial" w:hAnsi="Arial"/>
        </w:rPr>
      </w:pPr>
      <w:bookmarkStart w:id="6" w:name="_Toc472931266"/>
      <w:bookmarkStart w:id="7" w:name="_Toc472931330"/>
      <w:bookmarkEnd w:id="6"/>
      <w:bookmarkEnd w:id="7"/>
      <w:r>
        <w:rPr>
          <w:rFonts w:ascii="Arial" w:hAnsi="Arial"/>
        </w:rPr>
        <w:t>The current core procurement brokerage fee for SoCalGas is 2.01 cents per decatherm (dth) , while the SDG&amp;E procurement charge is 0.95 cents per decatherm per the 1996 BCAP Decision.</w:t>
      </w:r>
      <w:r>
        <w:rPr>
          <w:rStyle w:val="FootnoteReference"/>
          <w:rFonts w:ascii="Arial" w:hAnsi="Arial"/>
        </w:rPr>
        <w:footnoteReference w:id="14"/>
      </w:r>
      <w:r>
        <w:rPr>
          <w:rFonts w:ascii="Arial" w:hAnsi="Arial"/>
        </w:rPr>
        <w:t xml:space="preserve">    The Settlement Agreement would increase the core brokerage fee to 2.4 cents/dth for both utilities upon the effective date of the Commission approval of the Settlement Agreement.    The 2.4 cents per decatherm is consistent with the brokerage fee currently in place for PG&amp;E.    </w:t>
      </w:r>
    </w:p>
    <w:p>
      <w:pPr>
        <w:pStyle w:val="Bullet3"/>
        <w:bidi w:val="0"/>
        <w:spacing w:lineRule="auto" w:line="360"/>
        <w:ind w:firstLine="720" w:start="0"/>
        <w:jc w:val="start"/>
        <w:rPr>
          <w:rFonts w:ascii="Arial" w:hAnsi="Arial"/>
        </w:rPr>
      </w:pPr>
      <w:r>
        <w:rPr>
          <w:rFonts w:ascii="Arial" w:hAnsi="Arial"/>
        </w:rPr>
      </w:r>
    </w:p>
    <w:p>
      <w:pPr>
        <w:pStyle w:val="Bullet3"/>
        <w:bidi w:val="0"/>
        <w:spacing w:lineRule="auto" w:line="360"/>
        <w:ind w:firstLine="720" w:start="0"/>
        <w:jc w:val="start"/>
        <w:rPr>
          <w:rFonts w:ascii="Arial" w:hAnsi="Arial"/>
        </w:rPr>
      </w:pPr>
      <w:r>
        <w:rPr>
          <w:rFonts w:ascii="Arial" w:hAnsi="Arial"/>
        </w:rPr>
        <w:t>As with the billing avoided cost credits, the parties disagree on the levels of cost associated with the core procurement function and the methods for    calculating the costs that would no longer be incurred if the utility no longer provides full procurement service to a customer.      Therefore, the parties to the Settlement agreed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substantially altered.</w:t>
      </w:r>
    </w:p>
    <w:p>
      <w:pPr>
        <w:pStyle w:val="Bullet3"/>
        <w:bidi w:val="0"/>
        <w:spacing w:lineRule="auto" w:line="360"/>
        <w:ind w:firstLine="720" w:start="0"/>
        <w:jc w:val="start"/>
        <w:rPr>
          <w:rFonts w:ascii="Arial" w:hAnsi="Arial"/>
        </w:rPr>
      </w:pPr>
      <w:r>
        <w:rPr>
          <w:rFonts w:ascii="Arial" w:hAnsi="Arial"/>
        </w:rPr>
        <w:t>The utility labor force impacts and safety implications if the utility core procurement function was substantially altered would be addressed in the Commission review of the filed settlement, or in review of the filed utility applications regarding alternative utility procurement procedures.</w:t>
      </w:r>
    </w:p>
    <w:p>
      <w:pPr>
        <w:pStyle w:val="Normal"/>
        <w:bidi w:val="0"/>
        <w:jc w:val="start"/>
        <w:rPr>
          <w:rFonts w:ascii="Arial" w:hAnsi="Arial"/>
          <w:sz w:val="24"/>
        </w:rPr>
      </w:pPr>
      <w:r>
        <w:rPr>
          <w:rFonts w:ascii="Arial" w:hAnsi="Arial"/>
          <w:sz w:val="24"/>
        </w:rPr>
      </w:r>
    </w:p>
    <w:p>
      <w:pPr>
        <w:pStyle w:val="Normal"/>
        <w:bidi w:val="0"/>
        <w:jc w:val="start"/>
        <w:rPr>
          <w:rFonts w:ascii="Arial" w:hAnsi="Arial"/>
          <w:sz w:val="24"/>
        </w:rPr>
      </w:pPr>
      <w:r>
        <w:rPr>
          <w:rFonts w:ascii="Arial" w:hAnsi="Arial"/>
          <w:sz w:val="24"/>
        </w:rPr>
      </w:r>
    </w:p>
    <w:p>
      <w:pPr>
        <w:pStyle w:val="Normal"/>
        <w:bidi w:val="0"/>
        <w:jc w:val="start"/>
        <w:rPr>
          <w:rFonts w:ascii="Arial" w:hAnsi="Arial"/>
          <w:b/>
          <w:i/>
          <w:i/>
          <w:sz w:val="24"/>
        </w:rPr>
      </w:pPr>
      <w:r>
        <w:rPr>
          <w:rFonts w:ascii="Arial" w:hAnsi="Arial"/>
          <w:b/>
          <w:i/>
          <w:sz w:val="24"/>
        </w:rPr>
        <w:t xml:space="preserve">G.      Elimination of Core Subscription Program </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7 above and Section 5.5 of Settlement Agreement)</w:t>
      </w:r>
    </w:p>
    <w:p>
      <w:pPr>
        <w:pStyle w:val="Normal"/>
        <w:bidi w:val="0"/>
        <w:jc w:val="start"/>
        <w:rPr>
          <w:rFonts w:ascii="Arial" w:hAnsi="Arial"/>
          <w:sz w:val="24"/>
        </w:rPr>
      </w:pPr>
      <w:r>
        <w:rPr>
          <w:rFonts w:ascii="Arial" w:hAnsi="Arial"/>
          <w:sz w:val="24"/>
        </w:rPr>
      </w:r>
    </w:p>
    <w:p>
      <w:pPr>
        <w:pStyle w:val="Bullet3"/>
        <w:bidi w:val="0"/>
        <w:spacing w:lineRule="auto" w:line="360"/>
        <w:ind w:firstLine="720" w:start="0"/>
        <w:jc w:val="start"/>
        <w:rPr>
          <w:rFonts w:ascii="Arial" w:hAnsi="Arial"/>
        </w:rPr>
      </w:pPr>
      <w:r>
        <w:rPr>
          <w:rFonts w:ascii="Arial" w:hAnsi="Arial"/>
        </w:rPr>
        <w:t>SoCalGas currently offers core subscription service to its noncore customers under contracts with a two-year term.    Noncore customers receive core gas procurement services excluding the storage services under this program.    SoCalGas agrees that for simplicity the core subscription program should be eliminated.    With the newly adopted core transportation rates in SoCalGas’ 1999 BCAP decision, for SoCalGas’ large core commercial and industrial customers, there is no longer a substantial penalty in paying core transportation rates.</w:t>
      </w:r>
    </w:p>
    <w:p>
      <w:pPr>
        <w:pStyle w:val="Bullet3"/>
        <w:bidi w:val="0"/>
        <w:spacing w:lineRule="auto" w:line="360" w:before="240" w:after="0"/>
        <w:ind w:firstLine="720" w:start="0"/>
        <w:jc w:val="start"/>
        <w:rPr>
          <w:rFonts w:ascii="Arial" w:hAnsi="Arial"/>
        </w:rPr>
      </w:pPr>
      <w:r>
        <w:rPr>
          <w:rFonts w:ascii="Arial" w:hAnsi="Arial"/>
        </w:rPr>
        <w:t xml:space="preserve">There are currently xx noncore customers who participate in the core subscription program on the SoCalGas system.    These customers represent less than xx percent of total noncore volumes.    About xx percent of the core subscription customers are currently on two year contracts that expire July 31, 2001. </w:t>
      </w:r>
    </w:p>
    <w:p>
      <w:pPr>
        <w:pStyle w:val="Bullet3"/>
        <w:bidi w:val="0"/>
        <w:spacing w:lineRule="auto" w:line="360" w:before="240" w:after="0"/>
        <w:ind w:firstLine="720" w:start="0"/>
        <w:jc w:val="start"/>
        <w:rPr>
          <w:rFonts w:ascii="Arial" w:hAnsi="Arial"/>
        </w:rPr>
      </w:pPr>
      <w:r>
        <w:rPr>
          <w:rFonts w:ascii="Arial" w:hAnsi="Arial"/>
        </w:rPr>
        <w:t xml:space="preserve">SoCalGas will stop offering new core subscription contracts by April 1, 2001.    Beginning on the effective date of a Commission order approving the Settlement, SoCalGas will offer new core subscription contracts for a term that extends no later than July 31, 2001, the date at which the majority of existing contracts expire.    All core subscription contracts in effect on April 1, 2001 will remain in effect until the end of the contract life.    After April 1, 2001, all noncore-eligible customers must either choose a competitive provider for gas commodity or take service from SoCalGas at core rates (GN-10).    </w:t>
      </w:r>
    </w:p>
    <w:p>
      <w:pPr>
        <w:pStyle w:val="Bullet3"/>
        <w:bidi w:val="0"/>
        <w:spacing w:lineRule="auto" w:line="360" w:before="240" w:after="0"/>
        <w:ind w:firstLine="720" w:start="0"/>
        <w:jc w:val="start"/>
        <w:rPr>
          <w:rFonts w:ascii="Arial" w:hAnsi="Arial"/>
        </w:rPr>
      </w:pPr>
      <w:r>
        <w:rPr>
          <w:rFonts w:ascii="Arial" w:hAnsi="Arial"/>
        </w:rPr>
        <w:t xml:space="preserve">SoCalGas will provide customers with adequate advance notice of their choices and will provide these customers with a list of interested gas marketers operating on its system, so they can contact these marketers about their commodity choices.      In the event that customers do not make a choice by the deadline, they will automatically become core customers (GN-10).    </w:t>
      </w:r>
    </w:p>
    <w:p>
      <w:pPr>
        <w:pStyle w:val="Bullet3"/>
        <w:bidi w:val="0"/>
        <w:spacing w:lineRule="auto" w:line="360" w:before="240" w:after="0"/>
        <w:ind w:firstLine="720" w:start="0"/>
        <w:jc w:val="start"/>
        <w:rPr>
          <w:rFonts w:ascii="Arial" w:hAnsi="Arial"/>
        </w:rPr>
      </w:pPr>
      <w:r>
        <w:rPr>
          <w:rFonts w:ascii="Arial" w:hAnsi="Arial"/>
        </w:rPr>
        <w:t>SoCalGas will continue to treat transportation revenues from these customers that switch to core status as noncore revenues (i.e., the revenues will be recorded in the NFCA and not the CFCA), until the switch from noncore to core can be reflected in the throughput forecast in SoCalGas’ next BCAP.    This treatment is necessary given different regulatory balancing account treatment of revenues for core and noncore volumes on the SoCalGas system.</w:t>
      </w:r>
    </w:p>
    <w:p>
      <w:pPr>
        <w:pStyle w:val="BodyText"/>
        <w:tabs>
          <w:tab w:val="clear" w:pos="360"/>
          <w:tab w:val="left" w:pos="720" w:leader="none"/>
          <w:tab w:val="left" w:pos="1080" w:leader="none"/>
        </w:tabs>
        <w:bidi w:val="0"/>
        <w:spacing w:lineRule="auto" w:line="360"/>
        <w:ind w:firstLine="720" w:start="0"/>
        <w:jc w:val="start"/>
        <w:rPr>
          <w:rFonts w:ascii="Arial" w:hAnsi="Arial"/>
        </w:rPr>
      </w:pPr>
      <w:r>
        <w:rPr>
          <w:rFonts w:ascii="Arial" w:hAnsi="Arial"/>
        </w:rPr>
        <w:t xml:space="preserve">Both the Core Subscription option and the noncore procurement option will be eliminated for SDG&amp;E customers under the same terms described above for SoCalGas.    There are currently 19 noncore customers receiving core subscription service and 115 noncore customers receiving procurement service directly from SDG&amp;E.    These customers represent 22 percent of total noncore volumes on the SDG&amp;E system.    </w:t>
      </w:r>
    </w:p>
    <w:p>
      <w:pPr>
        <w:pStyle w:val="BodyText"/>
        <w:tabs>
          <w:tab w:val="clear" w:pos="360"/>
          <w:tab w:val="left" w:pos="720" w:leader="none"/>
          <w:tab w:val="left" w:pos="1080" w:leader="none"/>
        </w:tabs>
        <w:bidi w:val="0"/>
        <w:spacing w:lineRule="auto" w:line="360"/>
        <w:ind w:firstLine="720" w:start="0"/>
        <w:jc w:val="start"/>
        <w:rPr>
          <w:rFonts w:ascii="Arial" w:hAnsi="Arial"/>
        </w:rPr>
      </w:pPr>
      <w:r>
        <w:rPr>
          <w:rFonts w:ascii="Arial" w:hAnsi="Arial"/>
        </w:rPr>
        <w:t xml:space="preserve">Exiting noncore procurement is consistent with the situation existing currently for both SoCalGas and PG&amp;E and so will bring about statewide consistency.    By April 1, 2001 or at the end of existing contracts, whichever occurs later, all noncore customers in the SDG&amp;E service area will choose a competitive provider for commodity.    SDG&amp;E will provide them with advance notice of the change.    SDG&amp;E will also provide those customers with a list of interested gas marketers, so they can contact these marketers about their choices.    </w:t>
      </w:r>
    </w:p>
    <w:p>
      <w:pPr>
        <w:pStyle w:val="BodyText"/>
        <w:tabs>
          <w:tab w:val="clear" w:pos="360"/>
          <w:tab w:val="left" w:pos="720" w:leader="none"/>
          <w:tab w:val="left" w:pos="1080" w:leader="none"/>
        </w:tabs>
        <w:bidi w:val="0"/>
        <w:spacing w:lineRule="auto" w:line="360"/>
        <w:ind w:firstLine="720" w:start="0"/>
        <w:jc w:val="start"/>
        <w:rPr>
          <w:rFonts w:ascii="Arial" w:hAnsi="Arial"/>
        </w:rPr>
      </w:pPr>
      <w:r>
        <w:rPr>
          <w:rFonts w:ascii="Arial" w:hAnsi="Arial"/>
        </w:rPr>
        <w:t xml:space="preserve">In the event that noncore customers do not make a choice by the deadline, the customers will automatically become core customers.    If they become core customers, they will take service from SDG&amp;E at core rates, both core transportation and procurement rates.    </w:t>
      </w:r>
    </w:p>
    <w:p>
      <w:pPr>
        <w:pStyle w:val="Bullet3"/>
        <w:bidi w:val="0"/>
        <w:spacing w:lineRule="auto" w:line="360" w:before="240" w:after="0"/>
        <w:ind w:firstLine="720" w:start="0"/>
        <w:jc w:val="start"/>
        <w:rPr>
          <w:rFonts w:ascii="Arial" w:hAnsi="Arial"/>
        </w:rPr>
      </w:pPr>
      <w:r>
        <w:rPr>
          <w:rFonts w:ascii="Arial" w:hAnsi="Arial"/>
        </w:rPr>
        <w:t xml:space="preserve">There are no labor or safety issues associated with the elimination of utility procurement for noncore customers. </w:t>
      </w:r>
    </w:p>
    <w:p>
      <w:pPr>
        <w:pStyle w:val="Bullet3"/>
        <w:tabs>
          <w:tab w:val="clear" w:pos="360"/>
          <w:tab w:val="left" w:pos="1440" w:leader="none"/>
        </w:tabs>
        <w:bidi w:val="0"/>
        <w:ind w:hanging="0" w:start="1440"/>
        <w:jc w:val="start"/>
        <w:rPr>
          <w:rFonts w:ascii="Arial" w:hAnsi="Arial"/>
        </w:rPr>
      </w:pPr>
      <w:r>
        <w:rPr>
          <w:rFonts w:ascii="Arial" w:hAnsi="Arial"/>
        </w:rPr>
      </w:r>
    </w:p>
    <w:p>
      <w:pPr>
        <w:pStyle w:val="BodyText"/>
        <w:bidi w:val="0"/>
        <w:ind w:hanging="0" w:start="0"/>
        <w:jc w:val="start"/>
        <w:rPr>
          <w:rFonts w:ascii="Arial" w:hAnsi="Arial"/>
          <w:b/>
          <w:i/>
          <w:i/>
        </w:rPr>
      </w:pPr>
      <w:r>
        <w:rPr>
          <w:rFonts w:ascii="Arial" w:hAnsi="Arial"/>
          <w:b/>
          <w:i/>
        </w:rPr>
        <w:t xml:space="preserve">H.      Reduce CTA Volume Threshold </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8 above and Section 5.2 of Settlement Agreement)</w:t>
      </w:r>
    </w:p>
    <w:p>
      <w:pPr>
        <w:pStyle w:val="BodyTextContinued"/>
        <w:widowControl w:val="false"/>
        <w:bidi w:val="0"/>
        <w:spacing w:before="0" w:after="240"/>
        <w:ind w:hanging="0" w:start="0"/>
        <w:jc w:val="start"/>
        <w:rPr/>
      </w:pPr>
      <w:r>
        <w:rPr/>
      </w:r>
    </w:p>
    <w:p>
      <w:pPr>
        <w:pStyle w:val="BodyTextContinued"/>
        <w:widowControl w:val="false"/>
        <w:bidi w:val="0"/>
        <w:spacing w:before="0" w:after="240"/>
        <w:ind w:hanging="0" w:start="0"/>
        <w:jc w:val="start"/>
        <w:rPr/>
      </w:pPr>
      <w:r>
        <w:rPr>
          <w:rFonts w:ascii="Arial" w:hAnsi="Arial"/>
        </w:rPr>
        <w:t>Currently, there is a 250,000 therm/year minimum threshold size on any entities seeking to qualify as, or remain, a CTA program marketer on the utility systems.      It is proposed as part of the Settlement Agreement that the CTA program minimum size requirement be reduced from 250,000 to 120,000 therms per year in order to provide statewide consistency.    This size requirement would become effective upon Commission approval of the Settlement Agreement.</w:t>
      </w:r>
      <w:r>
        <w:rPr>
          <w:rStyle w:val="FootnoteReference"/>
          <w:rFonts w:ascii="Arial" w:hAnsi="Arial"/>
        </w:rPr>
        <w:footnoteReference w:id="15"/>
      </w:r>
    </w:p>
    <w:p>
      <w:pPr>
        <w:pStyle w:val="BodyText"/>
        <w:bidi w:val="0"/>
        <w:spacing w:lineRule="auto" w:line="360"/>
        <w:ind w:firstLine="720" w:start="0"/>
        <w:jc w:val="start"/>
        <w:rPr>
          <w:rFonts w:ascii="Arial" w:hAnsi="Arial"/>
        </w:rPr>
      </w:pPr>
      <w:r>
        <w:rPr>
          <w:rFonts w:ascii="Arial" w:hAnsi="Arial"/>
        </w:rPr>
        <w:t xml:space="preserve">This minor adjustment to reduce barriers to entry of ESPs and other gas suppliers into the CTA program will have no impact with automation of customer choice.    There are no safety or labor issues associated with the size threshold.      </w:t>
      </w:r>
    </w:p>
    <w:p>
      <w:pPr>
        <w:pStyle w:val="BodyText"/>
        <w:bidi w:val="0"/>
        <w:jc w:val="start"/>
        <w:rPr>
          <w:rFonts w:ascii="Times New Roman" w:hAnsi="Times New Roman"/>
        </w:rPr>
      </w:pPr>
      <w:r>
        <w:rPr/>
      </w:r>
    </w:p>
    <w:p>
      <w:pPr>
        <w:pStyle w:val="BodyText"/>
        <w:widowControl/>
        <w:bidi w:val="0"/>
        <w:ind w:hanging="0" w:start="0"/>
        <w:jc w:val="start"/>
        <w:rPr>
          <w:rFonts w:ascii="Arial" w:hAnsi="Arial"/>
          <w:b/>
          <w:i/>
          <w:i/>
        </w:rPr>
      </w:pPr>
      <w:r>
        <w:rPr>
          <w:rFonts w:ascii="Arial" w:hAnsi="Arial"/>
          <w:b/>
          <w:i/>
        </w:rPr>
        <w:t>I.      Pilot Meter and Meter Add-on Ownership Program</w:t>
      </w:r>
    </w:p>
    <w:p>
      <w:pPr>
        <w:pStyle w:val="Heading2"/>
        <w:numPr>
          <w:ilvl w:val="0"/>
          <w:numId w:val="0"/>
        </w:numPr>
        <w:bidi w:val="0"/>
        <w:ind w:hanging="0" w:start="0"/>
        <w:jc w:val="start"/>
        <w:outlineLvl w:val="1"/>
        <w:rPr>
          <w:rFonts w:ascii="Arial" w:hAnsi="Arial"/>
          <w:b/>
          <w:i/>
          <w:i/>
          <w:sz w:val="24"/>
          <w:u w:val="none"/>
        </w:rPr>
      </w:pPr>
      <w:r>
        <w:rPr>
          <w:rFonts w:ascii="Arial" w:hAnsi="Arial"/>
          <w:i/>
          <w:sz w:val="24"/>
          <w:u w:val="none"/>
        </w:rPr>
        <w:t>(Promising Option numbered 9 above and Section 7.1 of Settlement Agreement)</w:t>
      </w:r>
    </w:p>
    <w:p>
      <w:pPr>
        <w:pStyle w:val="Bullet3"/>
        <w:bidi w:val="0"/>
        <w:ind w:firstLine="720" w:start="0"/>
        <w:jc w:val="start"/>
        <w:rPr>
          <w:rFonts w:ascii="Arial" w:hAnsi="Arial"/>
        </w:rPr>
      </w:pPr>
      <w:r>
        <w:rPr>
          <w:rFonts w:ascii="Arial" w:hAnsi="Arial"/>
        </w:rPr>
      </w:r>
    </w:p>
    <w:p>
      <w:pPr>
        <w:pStyle w:val="BodyText2"/>
        <w:widowControl/>
        <w:tabs>
          <w:tab w:val="clear" w:pos="360"/>
          <w:tab w:val="left" w:pos="720" w:leader="none"/>
        </w:tabs>
        <w:bidi w:val="0"/>
        <w:spacing w:lineRule="auto" w:line="360" w:before="240" w:after="120"/>
        <w:ind w:firstLine="720" w:start="0"/>
        <w:jc w:val="start"/>
        <w:rPr>
          <w:rFonts w:ascii="Arial" w:hAnsi="Arial"/>
          <w:sz w:val="24"/>
        </w:rPr>
      </w:pPr>
      <w:r>
        <w:rPr>
          <w:sz w:val="24"/>
        </w:rPr>
        <w:t xml:space="preserve">The meter ownership/meter device add-on pilot is a test of the benefits of customer meter ownership in the restructured gas industry. The meter/add-on ownership pilot will allow customers to choose and own their own meters or to add devices to existing meters that electronically provide consumption information to the customers or to their suppliers.    The pilot meter ownership program for SoCalGas will be limited to 500 meters per year for new installations for large core commercial and industrial customers and 1,500 add-on meter devices per year for all customer classes.    The pilot meter ownership program for SDG&amp;E will be limited to 200 meters for new installations for large commercial and industrial customers and 200 add-on devices for all customer classes.    This level of activity will be small enough for the utility to avoid large costs related to changing computer systems that track information on meters and add-on devices for business purposes and safety reasons, but large enough to provide relevant information on the benefits of meter or add-on device ownership in the restructured gas industry environment. </w:t>
      </w:r>
    </w:p>
    <w:p>
      <w:pPr>
        <w:pStyle w:val="BodyText2"/>
        <w:widowControl/>
        <w:tabs>
          <w:tab w:val="clear" w:pos="360"/>
          <w:tab w:val="left" w:pos="720" w:leader="none"/>
        </w:tabs>
        <w:bidi w:val="0"/>
        <w:spacing w:lineRule="auto" w:line="360" w:before="240" w:after="120"/>
        <w:ind w:firstLine="720" w:start="0"/>
        <w:jc w:val="start"/>
        <w:rPr>
          <w:rFonts w:ascii="Arial" w:hAnsi="Arial"/>
          <w:sz w:val="24"/>
        </w:rPr>
      </w:pPr>
      <w:r>
        <w:rPr>
          <w:sz w:val="24"/>
        </w:rPr>
        <w:t xml:space="preserve">SoCalGas and SDG&amp;E will conduct the pilot meter and add-on device ownership programs through 2002.    By July 1, 2002, SoCalGas and SDG&amp;E will submit a joint evaluation of the pilot programs and recommendations for 2003 and beyond.    </w:t>
      </w:r>
    </w:p>
    <w:p>
      <w:pPr>
        <w:pStyle w:val="Bullet3"/>
        <w:bidi w:val="0"/>
        <w:spacing w:lineRule="auto" w:line="360"/>
        <w:ind w:firstLine="720" w:start="0"/>
        <w:jc w:val="start"/>
        <w:rPr>
          <w:rFonts w:ascii="Arial" w:hAnsi="Arial"/>
        </w:rPr>
      </w:pPr>
      <w:r>
        <w:rPr>
          <w:rFonts w:ascii="Arial" w:hAnsi="Arial"/>
        </w:rPr>
        <w:t>To ensure no impacts on safety or utility billing processes, the following principles will guide implementation:</w:t>
      </w:r>
    </w:p>
    <w:p>
      <w:pPr>
        <w:pStyle w:val="Bullet4"/>
        <w:numPr>
          <w:ilvl w:val="0"/>
          <w:numId w:val="1"/>
        </w:numPr>
        <w:bidi w:val="0"/>
        <w:spacing w:before="240" w:after="0"/>
        <w:ind w:hanging="360" w:start="360"/>
        <w:jc w:val="start"/>
        <w:rPr>
          <w:rFonts w:ascii="Arial" w:hAnsi="Arial"/>
        </w:rPr>
      </w:pPr>
      <w:r>
        <w:rPr>
          <w:rFonts w:ascii="Arial" w:hAnsi="Arial"/>
        </w:rPr>
        <w:t xml:space="preserve">The utilities will continue to install, read, remove, service, and maintain all gas meters during the pilot program, regardless of ownership.    </w:t>
      </w:r>
    </w:p>
    <w:p>
      <w:pPr>
        <w:pStyle w:val="Bullet4"/>
        <w:numPr>
          <w:ilvl w:val="0"/>
          <w:numId w:val="1"/>
        </w:numPr>
        <w:bidi w:val="0"/>
        <w:spacing w:before="240" w:after="0"/>
        <w:ind w:hanging="360" w:start="360"/>
        <w:jc w:val="start"/>
        <w:rPr>
          <w:rFonts w:ascii="Arial" w:hAnsi="Arial"/>
        </w:rPr>
      </w:pPr>
      <w:r>
        <w:rPr>
          <w:rFonts w:ascii="Arial" w:hAnsi="Arial"/>
        </w:rPr>
        <w:t xml:space="preserve">All customer-owned meters and add-on devices will have to meet appropriate standards of safety, accuracy and reliability, as determined by the utilities.    </w:t>
      </w:r>
    </w:p>
    <w:p>
      <w:pPr>
        <w:pStyle w:val="Bullet4"/>
        <w:numPr>
          <w:ilvl w:val="0"/>
          <w:numId w:val="1"/>
        </w:numPr>
        <w:bidi w:val="0"/>
        <w:spacing w:before="240" w:after="0"/>
        <w:ind w:hanging="360" w:start="360"/>
        <w:jc w:val="start"/>
        <w:rPr>
          <w:rFonts w:ascii="Arial" w:hAnsi="Arial"/>
        </w:rPr>
      </w:pPr>
      <w:r>
        <w:rPr>
          <w:rFonts w:ascii="Arial" w:hAnsi="Arial"/>
        </w:rPr>
        <w:t xml:space="preserve">Customer ownership of any meter or add-on device will not interfere with the utility's ability to obtain data from the meter.    </w:t>
      </w:r>
    </w:p>
    <w:p>
      <w:pPr>
        <w:pStyle w:val="Bullet4"/>
        <w:numPr>
          <w:ilvl w:val="0"/>
          <w:numId w:val="1"/>
        </w:numPr>
        <w:bidi w:val="0"/>
        <w:spacing w:before="240" w:after="0"/>
        <w:ind w:hanging="360" w:start="360"/>
        <w:jc w:val="start"/>
        <w:rPr>
          <w:rFonts w:ascii="Arial" w:hAnsi="Arial"/>
        </w:rPr>
      </w:pPr>
      <w:r>
        <w:rPr>
          <w:rFonts w:ascii="Arial" w:hAnsi="Arial"/>
        </w:rPr>
        <w:t>Those customers that choose to own their own meters or add-on devices    are responsible for the additional incremental capital and O&amp;M costs associated with such equipment including communication network costs.</w:t>
      </w:r>
    </w:p>
    <w:p>
      <w:pPr>
        <w:pStyle w:val="Header"/>
        <w:tabs>
          <w:tab w:val="clear" w:pos="4320"/>
          <w:tab w:val="clear" w:pos="8640"/>
        </w:tabs>
        <w:bidi w:val="0"/>
        <w:spacing w:lineRule="auto" w:line="360"/>
        <w:jc w:val="start"/>
        <w:rPr>
          <w:rFonts w:ascii="Arial" w:hAnsi="Arial"/>
          <w:sz w:val="24"/>
        </w:rPr>
      </w:pPr>
      <w:r>
        <w:rPr>
          <w:rFonts w:ascii="Arial" w:hAnsi="Arial"/>
          <w:sz w:val="24"/>
        </w:rPr>
      </w:r>
    </w:p>
    <w:p>
      <w:pPr>
        <w:pStyle w:val="Header"/>
        <w:tabs>
          <w:tab w:val="clear" w:pos="4320"/>
          <w:tab w:val="clear" w:pos="8640"/>
        </w:tabs>
        <w:bidi w:val="0"/>
        <w:spacing w:lineRule="auto" w:line="360"/>
        <w:ind w:firstLine="720"/>
        <w:jc w:val="start"/>
        <w:rPr>
          <w:rFonts w:ascii="Arial" w:hAnsi="Arial"/>
          <w:sz w:val="24"/>
        </w:rPr>
      </w:pPr>
      <w:r>
        <w:rPr>
          <w:rFonts w:ascii="Arial" w:hAnsi="Arial"/>
          <w:sz w:val="24"/>
        </w:rPr>
        <w:t xml:space="preserve">The costs incurred by SoCalGas in offering the meter ownership and meter add-on pilots include the development of PC based systems to track ownership and maintenance of third party owned meters and add-on devices at a cost of $150,000 for both hardware and software for SoCalGas.    This will save the millions of dollars required by SoCalGas to modify their existing meter tracking systems if the pilot programs were not limited. The costs incurred by SDG&amp;E in offering the meter ownership and meter add-on pilots include the development of programming to pass CTA information to the meter tracking system and returning relevant data from the meter tracking system.    The costs of these programming changes for the customer-owned meters and add-on devices program are $225,000. </w:t>
      </w:r>
    </w:p>
    <w:p>
      <w:pPr>
        <w:pStyle w:val="Header"/>
        <w:tabs>
          <w:tab w:val="clear" w:pos="4320"/>
          <w:tab w:val="clear" w:pos="8640"/>
        </w:tabs>
        <w:bidi w:val="0"/>
        <w:spacing w:lineRule="auto" w:line="360"/>
        <w:ind w:firstLine="720"/>
        <w:jc w:val="start"/>
        <w:rPr>
          <w:rFonts w:ascii="Arial" w:hAnsi="Arial"/>
          <w:sz w:val="24"/>
        </w:rPr>
      </w:pPr>
      <w:r>
        <w:rPr>
          <w:rFonts w:ascii="Arial" w:hAnsi="Arial"/>
          <w:sz w:val="24"/>
        </w:rPr>
      </w:r>
    </w:p>
    <w:p>
      <w:pPr>
        <w:pStyle w:val="Header"/>
        <w:tabs>
          <w:tab w:val="clear" w:pos="4320"/>
          <w:tab w:val="clear" w:pos="8640"/>
        </w:tabs>
        <w:bidi w:val="0"/>
        <w:spacing w:lineRule="auto" w:line="360"/>
        <w:ind w:firstLine="720"/>
        <w:jc w:val="start"/>
        <w:rPr>
          <w:rFonts w:ascii="Arial" w:hAnsi="Arial"/>
          <w:sz w:val="24"/>
        </w:rPr>
      </w:pPr>
      <w:r>
        <w:rPr>
          <w:rFonts w:ascii="Arial" w:hAnsi="Arial"/>
          <w:sz w:val="24"/>
        </w:rPr>
        <w:t xml:space="preserve">For SoCalGas, the one-time O&amp;M costs of $270,000 include the development of materials and training of Meter Shop and field employees on how to handle third party owned meters and add-on devices.    On-going O&amp;M are in the range of $30,000 and are for computer system maintenance costs.    Installation and maintenance costs of the devices themselves will be charged to customers electing these services.    </w:t>
      </w:r>
    </w:p>
    <w:p>
      <w:pPr>
        <w:pStyle w:val="Header"/>
        <w:tabs>
          <w:tab w:val="clear" w:pos="4320"/>
          <w:tab w:val="clear" w:pos="8640"/>
        </w:tabs>
        <w:bidi w:val="0"/>
        <w:spacing w:lineRule="auto" w:line="360"/>
        <w:jc w:val="start"/>
        <w:rPr>
          <w:rFonts w:ascii="Arial" w:hAnsi="Arial"/>
          <w:sz w:val="24"/>
        </w:rPr>
      </w:pPr>
      <w:r>
        <w:rPr>
          <w:rFonts w:ascii="Arial" w:hAnsi="Arial"/>
          <w:sz w:val="24"/>
        </w:rPr>
      </w:r>
    </w:p>
    <w:p>
      <w:pPr>
        <w:pStyle w:val="Header"/>
        <w:tabs>
          <w:tab w:val="clear" w:pos="4320"/>
          <w:tab w:val="clear" w:pos="8640"/>
        </w:tabs>
        <w:bidi w:val="0"/>
        <w:spacing w:lineRule="auto" w:line="360"/>
        <w:jc w:val="start"/>
        <w:rPr>
          <w:rFonts w:ascii="Arial" w:hAnsi="Arial"/>
          <w:b/>
          <w:sz w:val="28"/>
        </w:rPr>
      </w:pPr>
      <w:r>
        <w:rPr>
          <w:rFonts w:ascii="Arial" w:hAnsi="Arial"/>
          <w:b/>
          <w:sz w:val="28"/>
        </w:rPr>
        <w:t>V.    Other Topics</w:t>
      </w:r>
    </w:p>
    <w:p>
      <w:pPr>
        <w:pStyle w:val="Header"/>
        <w:tabs>
          <w:tab w:val="clear" w:pos="4320"/>
          <w:tab w:val="clear" w:pos="8640"/>
        </w:tabs>
        <w:bidi w:val="0"/>
        <w:spacing w:lineRule="auto" w:line="360"/>
        <w:jc w:val="start"/>
        <w:rPr>
          <w:rFonts w:ascii="Arial" w:hAnsi="Arial"/>
          <w:b/>
          <w:i/>
          <w:i/>
          <w:sz w:val="24"/>
        </w:rPr>
      </w:pPr>
      <w:r>
        <w:rPr>
          <w:rFonts w:ascii="Arial" w:hAnsi="Arial"/>
          <w:b/>
          <w:i/>
          <w:sz w:val="24"/>
        </w:rPr>
      </w:r>
    </w:p>
    <w:p>
      <w:pPr>
        <w:pStyle w:val="Header"/>
        <w:tabs>
          <w:tab w:val="clear" w:pos="4320"/>
          <w:tab w:val="clear" w:pos="8640"/>
        </w:tabs>
        <w:bidi w:val="0"/>
        <w:spacing w:lineRule="auto" w:line="360"/>
        <w:jc w:val="start"/>
        <w:rPr>
          <w:rFonts w:ascii="Arial" w:hAnsi="Arial"/>
          <w:b/>
          <w:i/>
          <w:i/>
          <w:sz w:val="24"/>
        </w:rPr>
      </w:pPr>
      <w:r>
        <w:rPr>
          <w:rFonts w:ascii="Arial" w:hAnsi="Arial"/>
          <w:b/>
          <w:i/>
          <w:sz w:val="24"/>
        </w:rPr>
        <w:t>A.      Utilities will not request interim rate relief for capital expenditures or O&amp;M expenses to implement the Retail Portion of the Settlement                            (Section 1.6)</w:t>
      </w:r>
    </w:p>
    <w:p>
      <w:pPr>
        <w:pStyle w:val="Header"/>
        <w:tabs>
          <w:tab w:val="clear" w:pos="4320"/>
          <w:tab w:val="clear" w:pos="8640"/>
        </w:tabs>
        <w:bidi w:val="0"/>
        <w:spacing w:lineRule="auto" w:line="360"/>
        <w:jc w:val="start"/>
        <w:rPr>
          <w:rFonts w:ascii="Arial" w:hAnsi="Arial"/>
          <w:sz w:val="24"/>
        </w:rPr>
      </w:pPr>
      <w:r>
        <w:rPr>
          <w:rFonts w:ascii="Arial" w:hAnsi="Arial"/>
          <w:sz w:val="24"/>
        </w:rPr>
      </w:r>
    </w:p>
    <w:p>
      <w:pPr>
        <w:pStyle w:val="Normal"/>
        <w:bidi w:val="0"/>
        <w:spacing w:lineRule="auto" w:line="360"/>
        <w:ind w:firstLine="720"/>
        <w:jc w:val="start"/>
        <w:rPr>
          <w:rFonts w:ascii="Arial" w:hAnsi="Arial"/>
          <w:sz w:val="24"/>
        </w:rPr>
      </w:pPr>
      <w:r>
        <w:rPr>
          <w:rFonts w:ascii="Arial" w:hAnsi="Arial"/>
          <w:sz w:val="24"/>
        </w:rPr>
        <w:t>Under the settlement agreement, SoCalGas will not request interim rate relief for any incremental capital spending to implement automated direct access service requests /customer account management systems, utility consolidated billing, and the meter ownership/add-on pilot program until the effective date of a Commission decision re-establishing SoCalGas’ authorized margin after the expiration of the PBR period established for SoCalGas in D.97-07-054.</w:t>
      </w:r>
      <w:r>
        <w:rPr>
          <w:rStyle w:val="FootnoteReference"/>
          <w:rFonts w:ascii="Arial" w:hAnsi="Arial"/>
        </w:rPr>
        <w:footnoteReference w:id="16"/>
      </w:r>
      <w:r>
        <w:rPr>
          <w:rFonts w:ascii="Arial" w:hAnsi="Arial"/>
          <w:sz w:val="24"/>
        </w:rPr>
        <w:t xml:space="preserve">    All such capital costs anticipated and described in this testimony are deemed reasonable as part of the Settlement Agreement.    </w:t>
      </w:r>
    </w:p>
    <w:p>
      <w:pPr>
        <w:pStyle w:val="Normal"/>
        <w:bidi w:val="0"/>
        <w:spacing w:lineRule="auto" w:line="360" w:before="240" w:after="0"/>
        <w:ind w:firstLine="720"/>
        <w:jc w:val="start"/>
        <w:rPr>
          <w:rFonts w:ascii="Arial" w:hAnsi="Arial"/>
          <w:color w:val="000000"/>
          <w:sz w:val="24"/>
        </w:rPr>
      </w:pPr>
      <w:r>
        <w:rPr>
          <w:rFonts w:ascii="Arial" w:hAnsi="Arial"/>
          <w:sz w:val="24"/>
        </w:rPr>
        <w:t>SDG&amp;E will not request interim rate relief for any incremental capital spending to implement automated direct access service requests /customer account management systems, utility consolidated billing, and the meter ownership/add-on pilot program until the effective date of a Commission decision re-establishing its authorized margin after the expiration of the PBR period established in D.99-05-031.</w:t>
      </w:r>
      <w:r>
        <w:rPr>
          <w:rStyle w:val="FootnoteReference"/>
          <w:rFonts w:ascii="Arial" w:hAnsi="Arial"/>
        </w:rPr>
        <w:footnoteReference w:id="17"/>
      </w:r>
      <w:r>
        <w:rPr>
          <w:rFonts w:ascii="Arial" w:hAnsi="Arial"/>
          <w:sz w:val="24"/>
        </w:rPr>
        <w:t>    All such capital costs anticipated and described in this testimony are deemed reasonable as part of the Settlement Agreement.</w:t>
      </w:r>
    </w:p>
    <w:p>
      <w:pPr>
        <w:pStyle w:val="Bullet2"/>
        <w:bidi w:val="0"/>
        <w:spacing w:lineRule="auto" w:line="360" w:before="240" w:after="0"/>
        <w:ind w:firstLine="720" w:start="0"/>
        <w:jc w:val="start"/>
        <w:rPr>
          <w:rFonts w:ascii="Arial" w:hAnsi="Arial"/>
        </w:rPr>
      </w:pPr>
      <w:r>
        <w:rPr>
          <w:rFonts w:ascii="Arial" w:hAnsi="Arial"/>
        </w:rPr>
        <w:t xml:space="preserve">Between now and implementation of revenue requirements adopted in their next PBR proceedings, SoCalGas and SDG&amp;E will also not increase rates to customers to recover one-time and recurring operating and maintenance expenses incurred implementing the retail portion of the Settlement Agreement.    These include costs related to automated direct access service requests (DASR)/customer account management systems, utility consolidated billing, and the meter ownership/add-on pilot program.    However, since SoCalGas and SDG&amp;E have agreed to pass on incremental cost savings to ESPs in billing credits, it is reasonable that revenues generated by fees to be paid by retailers be used to offset some of the utilities' incremental O&amp;M costs.    </w:t>
      </w:r>
    </w:p>
    <w:p>
      <w:pPr>
        <w:pStyle w:val="Bullet2"/>
        <w:bidi w:val="0"/>
        <w:spacing w:lineRule="auto" w:line="360" w:before="240" w:after="0"/>
        <w:ind w:firstLine="720" w:start="0"/>
        <w:jc w:val="start"/>
        <w:rPr>
          <w:rFonts w:ascii="Arial" w:hAnsi="Arial"/>
        </w:rPr>
      </w:pPr>
      <w:r>
        <w:rPr>
          <w:rFonts w:ascii="Arial" w:hAnsi="Arial"/>
        </w:rPr>
        <w:t xml:space="preserve">SoCalGas’ O&amp;M costs and fees will be reviewed as part of a Commission decision re-establishing its authorized margin after the expiration of the PBR period established for SoCalGas in D.97-07-054.    Likewise, SDG&amp;E’s O&amp;M costs and fees will be reviewed as part of a Commission decision re-establishing its authorized margin after the expiration of the PBR period established for SDG&amp;E in D.99-05-031.        </w:t>
      </w:r>
    </w:p>
    <w:p>
      <w:pPr>
        <w:pStyle w:val="Bullet2"/>
        <w:bidi w:val="0"/>
        <w:spacing w:lineRule="auto" w:line="360" w:before="240" w:after="0"/>
        <w:ind w:firstLine="720" w:start="0"/>
        <w:jc w:val="start"/>
        <w:rPr>
          <w:rFonts w:ascii="Arial" w:hAnsi="Arial"/>
        </w:rPr>
      </w:pPr>
      <w:r>
        <w:rPr>
          <w:rFonts w:ascii="Arial" w:hAnsi="Arial"/>
        </w:rPr>
        <w:t>The types of fees and the fee amounts to be proposed by the utilities will be the subject of future discussions.    The proposal of fees is designed to be consistent with the types of fees existing or proposed in the electric industry to promote general consistency across gas and electricity.    The added fees would reflect the ongoing incremental costs of those services just as the billing avoided cost credits reflect the ongoing costs avoided by the utility in not providing the service.</w:t>
      </w:r>
    </w:p>
    <w:p>
      <w:pPr>
        <w:pStyle w:val="Bullet2"/>
        <w:bidi w:val="0"/>
        <w:spacing w:lineRule="auto" w:line="360" w:before="240" w:after="0"/>
        <w:ind w:firstLine="720" w:start="0"/>
        <w:jc w:val="start"/>
        <w:rPr>
          <w:rFonts w:ascii="Arial" w:hAnsi="Arial"/>
        </w:rPr>
      </w:pPr>
      <w:r>
        <w:rPr>
          <w:rFonts w:ascii="Arial" w:hAnsi="Arial"/>
        </w:rPr>
      </w:r>
    </w:p>
    <w:p>
      <w:pPr>
        <w:pStyle w:val="Bullet2"/>
        <w:bidi w:val="0"/>
        <w:spacing w:lineRule="auto" w:line="360" w:before="240" w:after="0"/>
        <w:ind w:hanging="0" w:start="0"/>
        <w:jc w:val="start"/>
        <w:rPr>
          <w:rFonts w:ascii="Arial" w:hAnsi="Arial"/>
          <w:b/>
          <w:i/>
          <w:i/>
        </w:rPr>
      </w:pPr>
      <w:r>
        <w:rPr>
          <w:rFonts w:ascii="Arial" w:hAnsi="Arial"/>
          <w:b/>
          <w:i/>
        </w:rPr>
        <w:t>B.      Provisions in the Capacity Portion are Necessary for the Retail Portion of the Gas OII Comprehensive Settlement to Provide Benefits to Core Customers</w:t>
      </w:r>
    </w:p>
    <w:p>
      <w:pPr>
        <w:pStyle w:val="Bullet2"/>
        <w:bidi w:val="0"/>
        <w:spacing w:lineRule="auto" w:line="360" w:before="240" w:after="0"/>
        <w:ind w:firstLine="720" w:start="0"/>
        <w:jc w:val="start"/>
        <w:rPr>
          <w:rFonts w:ascii="Arial" w:hAnsi="Arial"/>
        </w:rPr>
      </w:pPr>
      <w:r>
        <w:rPr>
          <w:rFonts w:ascii="Arial" w:hAnsi="Arial"/>
        </w:rPr>
        <w:t>In other regions in which competition has reached the residential and small business customer, it has been associated with customers being able to achieve savings purchasing gas from a non-utility supplier.      Surveys have shown that price is the number one reason customers will switch gas suppliers.</w:t>
      </w:r>
      <w:r>
        <w:rPr>
          <w:rStyle w:val="FootnoteReference"/>
          <w:rFonts w:ascii="Arial" w:hAnsi="Arial"/>
        </w:rPr>
        <w:footnoteReference w:id="18"/>
      </w:r>
      <w:r>
        <w:rPr>
          <w:rFonts w:ascii="Arial" w:hAnsi="Arial"/>
        </w:rPr>
        <w:t>    In Ohio and Georgia, customers choosing non-utility suppliers could achieve savings because of price advantages on interstate capacity.</w:t>
      </w:r>
      <w:r>
        <w:rPr>
          <w:rStyle w:val="FootnoteReference"/>
          <w:rFonts w:ascii="Arial" w:hAnsi="Arial"/>
        </w:rPr>
        <w:footnoteReference w:id="19"/>
      </w:r>
      <w:r>
        <w:rPr>
          <w:rFonts w:ascii="Arial" w:hAnsi="Arial"/>
        </w:rPr>
        <w:t>    In Ontario, Canada, and in Great Britain, non-utility gas suppliers have gained significant market share because the market gas commodity price was less than the utility’s long term gas supply contract price.</w:t>
      </w:r>
      <w:r>
        <w:rPr>
          <w:rStyle w:val="FootnoteReference"/>
          <w:rFonts w:ascii="Arial" w:hAnsi="Arial"/>
        </w:rPr>
        <w:footnoteReference w:id="20"/>
      </w:r>
    </w:p>
    <w:p>
      <w:pPr>
        <w:pStyle w:val="Bullet2"/>
        <w:bidi w:val="0"/>
        <w:spacing w:lineRule="auto" w:line="360" w:before="240" w:after="0"/>
        <w:ind w:firstLine="720" w:start="0"/>
        <w:jc w:val="start"/>
        <w:rPr>
          <w:rFonts w:ascii="Arial" w:hAnsi="Arial"/>
        </w:rPr>
      </w:pPr>
      <w:r>
        <w:rPr>
          <w:rFonts w:ascii="Arial" w:hAnsi="Arial"/>
        </w:rPr>
        <w:t>The Settlement Agreement boosts competition in the southern California gas market in a number of ways.    A primary way is through the unbundling of interstate transmission capacity and allowing ESPs to purchase capacity at market prices.    This creates new opportunities for ESPs to not only obtain capacity at market value (significantly below the as-billed rate under FERC tariffs    by utility procurement customers), but an opportunity to match upstream transportation supply and transportation arrangements in new and creative ways for the benefit of the customers they serve.</w:t>
      </w:r>
      <w:r>
        <w:rPr>
          <w:rStyle w:val="FootnoteReference"/>
          <w:rFonts w:ascii="Arial" w:hAnsi="Arial"/>
        </w:rPr>
        <w:footnoteReference w:id="21"/>
      </w:r>
      <w:r>
        <w:rPr>
          <w:rFonts w:ascii="Arial" w:hAnsi="Arial"/>
        </w:rPr>
        <w:t>    In addition, ESPs can offer price discounts to certain core customers by buying less storage if the customer does not have seasonal swings in usage, or by buying storage from alternate suppliers at a discount.    And as before, savings can also be achieved if the ESP can provide the commodity gas at a discount to the utility price for core procurement.    Finally, the billing credits will provide a lower price for customers of ESPs.</w:t>
      </w:r>
    </w:p>
    <w:p>
      <w:pPr>
        <w:pStyle w:val="Bullet2"/>
        <w:bidi w:val="0"/>
        <w:spacing w:lineRule="auto" w:line="360" w:before="240" w:after="0"/>
        <w:ind w:firstLine="720" w:start="0"/>
        <w:jc w:val="start"/>
        <w:rPr>
          <w:rFonts w:ascii="Arial" w:hAnsi="Arial"/>
        </w:rPr>
      </w:pPr>
      <w:r>
        <w:rPr>
          <w:rFonts w:ascii="Arial" w:hAnsi="Arial"/>
        </w:rPr>
        <w:t>Based on the experience in Ohio and Georgia, price advantages created by the capacity portion of the Settlement Agreement, when combined with the proposed retail reforms, will lead to significant growth of gas suppliers and a significant amount of customer switching.    In Ohio, for example, there are 23 ESPs serving individual residential gas customers compared to one in southern California.</w:t>
      </w:r>
      <w:r>
        <w:rPr>
          <w:rStyle w:val="FootnoteReference"/>
          <w:rFonts w:ascii="Arial" w:hAnsi="Arial"/>
        </w:rPr>
        <w:footnoteReference w:id="22"/>
      </w:r>
      <w:r>
        <w:rPr>
          <w:rFonts w:ascii="Arial" w:hAnsi="Arial"/>
        </w:rPr>
        <w:t>    And customers choosing ESPs increased in one year to almost 10 percent of residential customers for Cincinnati Gas and Electric and over 30 percent for Columbia Gas of Ohio.</w:t>
      </w:r>
      <w:r>
        <w:rPr>
          <w:rStyle w:val="FootnoteReference"/>
          <w:rFonts w:ascii="Arial" w:hAnsi="Arial"/>
        </w:rPr>
        <w:footnoteReference w:id="23"/>
      </w:r>
      <w:r>
        <w:rPr>
          <w:rFonts w:ascii="Arial" w:hAnsi="Arial"/>
        </w:rPr>
        <w:t>    In Georgia, there are 16 approved ESPs serving residential and small commercial customers and over 30 percent of small customers switched procurement service to ESPs within 6 months.</w:t>
      </w:r>
      <w:r>
        <w:rPr>
          <w:rStyle w:val="FootnoteReference"/>
          <w:rFonts w:ascii="Arial" w:hAnsi="Arial"/>
        </w:rPr>
        <w:footnoteReference w:id="24"/>
      </w:r>
      <w:r>
        <w:rPr>
          <w:rFonts w:ascii="Arial" w:hAnsi="Arial"/>
        </w:rPr>
        <w:t xml:space="preserve"> </w:t>
      </w:r>
    </w:p>
    <w:p>
      <w:pPr>
        <w:pStyle w:val="Bullet2"/>
        <w:bidi w:val="0"/>
        <w:spacing w:lineRule="auto" w:line="360" w:before="240" w:after="0"/>
        <w:ind w:firstLine="720" w:start="0"/>
        <w:jc w:val="start"/>
        <w:rPr>
          <w:rFonts w:ascii="Arial" w:hAnsi="Arial"/>
        </w:rPr>
      </w:pPr>
      <w:r>
        <w:rPr>
          <w:rFonts w:ascii="Arial" w:hAnsi="Arial"/>
        </w:rPr>
      </w:r>
    </w:p>
    <w:p>
      <w:pPr>
        <w:pStyle w:val="Bullet2"/>
        <w:bidi w:val="0"/>
        <w:spacing w:lineRule="auto" w:line="360" w:before="240" w:after="0"/>
        <w:ind w:hanging="0" w:start="0"/>
        <w:jc w:val="start"/>
        <w:rPr>
          <w:rFonts w:ascii="Arial" w:hAnsi="Arial"/>
          <w:b/>
          <w:i/>
          <w:i/>
        </w:rPr>
      </w:pPr>
      <w:r>
        <w:rPr>
          <w:rFonts w:ascii="Arial" w:hAnsi="Arial"/>
          <w:b/>
          <w:i/>
        </w:rPr>
        <w:t>C.      Impact of Retail Settlement on Public Purpose programs</w:t>
      </w:r>
    </w:p>
    <w:p>
      <w:pPr>
        <w:pStyle w:val="Bullet2"/>
        <w:bidi w:val="0"/>
        <w:spacing w:lineRule="auto" w:line="360" w:before="240" w:after="0"/>
        <w:ind w:firstLine="720" w:start="0"/>
        <w:jc w:val="start"/>
        <w:rPr>
          <w:rFonts w:ascii="Arial" w:hAnsi="Arial"/>
        </w:rPr>
      </w:pPr>
      <w:r>
        <w:rPr>
          <w:rFonts w:ascii="Arial" w:hAnsi="Arial"/>
        </w:rPr>
        <w:t>The retail portion of the Settlement Agreement makes no changes to the Commission’s current policies on public purpose programs (CARE, DAP, and DSM programs) for the gas industry.    The public purpose program benefits are unchanged and the surcharges to finance these programs are on not impacted by the retail portion of the Settlement Agreement.</w:t>
      </w:r>
    </w:p>
    <w:p>
      <w:pPr>
        <w:pStyle w:val="Bullet2"/>
        <w:bidi w:val="0"/>
        <w:spacing w:lineRule="auto" w:line="360" w:before="240" w:after="0"/>
        <w:ind w:hanging="0" w:start="0"/>
        <w:jc w:val="start"/>
        <w:rPr>
          <w:rFonts w:ascii="Arial" w:hAnsi="Arial"/>
          <w:b/>
          <w:i/>
          <w:i/>
        </w:rPr>
      </w:pPr>
      <w:r>
        <w:rPr>
          <w:rFonts w:ascii="Arial" w:hAnsi="Arial"/>
          <w:b/>
          <w:i/>
        </w:rPr>
      </w:r>
    </w:p>
    <w:p>
      <w:pPr>
        <w:pStyle w:val="Bullet2"/>
        <w:bidi w:val="0"/>
        <w:spacing w:lineRule="auto" w:line="360" w:before="240" w:after="0"/>
        <w:ind w:hanging="0" w:start="0"/>
        <w:jc w:val="start"/>
        <w:rPr>
          <w:rFonts w:ascii="Arial" w:hAnsi="Arial"/>
          <w:b/>
          <w:i/>
          <w:i/>
        </w:rPr>
      </w:pPr>
      <w:r>
        <w:rPr>
          <w:rFonts w:ascii="Arial" w:hAnsi="Arial"/>
          <w:b/>
          <w:i/>
        </w:rPr>
        <w:t xml:space="preserve">D.    Timeline of the Retail Portion of Settlement </w:t>
      </w:r>
    </w:p>
    <w:p>
      <w:pPr>
        <w:pStyle w:val="Bullet2"/>
        <w:bidi w:val="0"/>
        <w:spacing w:lineRule="auto" w:line="360"/>
        <w:ind w:firstLine="720" w:start="0"/>
        <w:jc w:val="start"/>
        <w:rPr>
          <w:rFonts w:ascii="Arial" w:hAnsi="Arial"/>
        </w:rPr>
      </w:pPr>
      <w:r>
        <w:rPr>
          <w:rFonts w:ascii="Arial" w:hAnsi="Arial"/>
        </w:rPr>
        <w:t>In general, the effective date of this Settlement Agreement is the later of:    (a) ninety (90) days after the issuance of a Commission decision approving it, or (b) October 1, 2000.    This Settlement Agreement terminates on August 31, 2006.</w:t>
      </w:r>
    </w:p>
    <w:p>
      <w:pPr>
        <w:pStyle w:val="Bullet2"/>
        <w:bidi w:val="0"/>
        <w:spacing w:lineRule="auto" w:line="360" w:before="240" w:after="0"/>
        <w:ind w:firstLine="720" w:start="0"/>
        <w:jc w:val="start"/>
        <w:rPr>
          <w:rFonts w:ascii="Arial" w:hAnsi="Arial"/>
        </w:rPr>
      </w:pPr>
      <w:r>
        <w:rPr>
          <w:rFonts w:ascii="Arial" w:hAnsi="Arial"/>
        </w:rPr>
        <w:t>However, this Settlement Agreement provides for later implementation dates for certain provisions and provides that certain provisions shall terminate prior to August 31, 2006.      The following are the provisions that do not run concurrent with the Settlement Agreement. Only differences are shown below.</w:t>
      </w:r>
    </w:p>
    <w:p>
      <w:pPr>
        <w:pStyle w:val="Bullet2"/>
        <w:bidi w:val="0"/>
        <w:spacing w:lineRule="auto" w:line="360" w:before="240" w:after="0"/>
        <w:ind w:firstLine="720" w:start="0"/>
        <w:jc w:val="start"/>
        <w:rPr>
          <w:rFonts w:ascii="Arial" w:hAnsi="Arial"/>
        </w:rPr>
      </w:pPr>
      <w:r>
        <w:rPr>
          <w:rFonts w:ascii="Arial" w:hAnsi="Arial"/>
        </w:rPr>
      </w:r>
    </w:p>
    <w:p>
      <w:pPr>
        <w:pStyle w:val="Bullet2"/>
        <w:bidi w:val="0"/>
        <w:spacing w:lineRule="auto" w:line="360" w:before="240" w:after="0"/>
        <w:ind w:firstLine="720" w:start="0"/>
        <w:jc w:val="start"/>
        <w:rPr>
          <w:rFonts w:ascii="Arial" w:hAnsi="Arial"/>
        </w:rPr>
      </w:pPr>
      <w:r>
        <w:rPr>
          <w:rFonts w:ascii="Arial" w:hAnsi="Arial"/>
        </w:rPr>
      </w:r>
    </w:p>
    <w:p>
      <w:pPr>
        <w:pStyle w:val="Bullet2"/>
        <w:bidi w:val="0"/>
        <w:spacing w:lineRule="auto" w:line="360" w:before="240" w:after="0"/>
        <w:ind w:firstLine="720" w:start="0"/>
        <w:jc w:val="start"/>
        <w:rPr>
          <w:rFonts w:ascii="Arial" w:hAnsi="Arial"/>
        </w:rPr>
      </w:pPr>
      <w:r>
        <w:rPr>
          <w:rFonts w:ascii="Arial" w:hAnsi="Arial"/>
        </w:rPr>
      </w:r>
    </w:p>
    <w:p>
      <w:pPr>
        <w:pStyle w:val="Bullet2"/>
        <w:pBdr>
          <w:bottom w:val="single" w:sz="4" w:space="1" w:color="000000"/>
        </w:pBdr>
        <w:tabs>
          <w:tab w:val="clear" w:pos="360"/>
          <w:tab w:val="left" w:pos="3960" w:leader="none"/>
          <w:tab w:val="left" w:pos="6480" w:leader="none"/>
          <w:tab w:val="left" w:pos="7200" w:leader="none"/>
        </w:tabs>
        <w:bidi w:val="0"/>
        <w:spacing w:before="240" w:after="0"/>
        <w:ind w:hanging="0" w:start="0"/>
        <w:jc w:val="start"/>
        <w:rPr>
          <w:rFonts w:ascii="Arial" w:hAnsi="Arial"/>
          <w:u w:val="single"/>
        </w:rPr>
      </w:pPr>
      <w:r>
        <w:rPr>
          <w:rFonts w:ascii="Arial" w:hAnsi="Arial"/>
        </w:rPr>
        <w:tab/>
        <w:t>Effective</w:t>
        <w:tab/>
        <w:t>Termination Provision</w:t>
        <w:tab/>
        <w:t>      Date</w:t>
        <w:tab/>
        <w:t xml:space="preserve">            Date      </w:t>
      </w:r>
      <w:r>
        <w:rPr>
          <w:rFonts w:ascii="Arial" w:hAnsi="Arial"/>
          <w:u w:val="single"/>
        </w:rPr>
        <w:t xml:space="preserve">      </w:t>
      </w:r>
    </w:p>
    <w:p>
      <w:pPr>
        <w:pStyle w:val="BodyText3"/>
        <w:tabs>
          <w:tab w:val="clear" w:pos="360"/>
          <w:tab w:val="left" w:pos="1080" w:leader="none"/>
        </w:tabs>
        <w:bidi w:val="0"/>
        <w:jc w:val="start"/>
        <w:rPr>
          <w:color w:val="000000"/>
          <w:u w:val="none"/>
        </w:rPr>
      </w:pPr>
      <w:r>
        <w:rPr>
          <w:color w:val="000000"/>
          <w:u w:val="none"/>
        </w:rPr>
      </w:r>
    </w:p>
    <w:p>
      <w:pPr>
        <w:pStyle w:val="BodyText3"/>
        <w:tabs>
          <w:tab w:val="clear" w:pos="360"/>
          <w:tab w:val="left" w:pos="1080" w:leader="none"/>
          <w:tab w:val="left" w:pos="3960" w:leader="none"/>
        </w:tabs>
        <w:bidi w:val="0"/>
        <w:jc w:val="start"/>
        <w:rPr>
          <w:color w:val="000000"/>
          <w:u w:val="none"/>
        </w:rPr>
      </w:pPr>
      <w:r>
        <w:rPr>
          <w:color w:val="000000"/>
          <w:u w:val="none"/>
        </w:rPr>
        <w:t xml:space="preserve">Customer Information </w:t>
      </w:r>
    </w:p>
    <w:p>
      <w:pPr>
        <w:pStyle w:val="BodyText3"/>
        <w:tabs>
          <w:tab w:val="clear" w:pos="360"/>
          <w:tab w:val="left" w:pos="1080" w:leader="none"/>
          <w:tab w:val="left" w:pos="3510" w:leader="none"/>
        </w:tabs>
        <w:bidi w:val="0"/>
        <w:jc w:val="start"/>
        <w:rPr>
          <w:color w:val="000000"/>
          <w:u w:val="none"/>
        </w:rPr>
      </w:pPr>
      <w:r>
        <w:rPr>
          <w:color w:val="000000"/>
          <w:u w:val="none"/>
        </w:rPr>
        <w:t>Workshops</w:t>
        <w:tab/>
        <w:t>By June 16, 2000</w:t>
      </w:r>
    </w:p>
    <w:p>
      <w:pPr>
        <w:pStyle w:val="BodyText3"/>
        <w:tabs>
          <w:tab w:val="clear" w:pos="360"/>
          <w:tab w:val="left" w:pos="1080" w:leader="none"/>
          <w:tab w:val="left" w:pos="3960" w:leader="none"/>
        </w:tabs>
        <w:bidi w:val="0"/>
        <w:jc w:val="start"/>
        <w:rPr>
          <w:color w:val="000000"/>
          <w:u w:val="none"/>
        </w:rPr>
      </w:pPr>
      <w:r>
        <w:rPr>
          <w:color w:val="000000"/>
          <w:u w:val="none"/>
        </w:rPr>
      </w:r>
    </w:p>
    <w:p>
      <w:pPr>
        <w:pStyle w:val="BodyText3"/>
        <w:tabs>
          <w:tab w:val="clear" w:pos="360"/>
          <w:tab w:val="left" w:pos="1080" w:leader="none"/>
          <w:tab w:val="left" w:pos="3510" w:leader="none"/>
        </w:tabs>
        <w:bidi w:val="0"/>
        <w:jc w:val="start"/>
        <w:rPr>
          <w:color w:val="000000"/>
          <w:u w:val="none"/>
        </w:rPr>
      </w:pPr>
      <w:r>
        <w:rPr>
          <w:color w:val="000000"/>
          <w:u w:val="none"/>
        </w:rPr>
        <w:t>Utility Consolidated Billing</w:t>
        <w:tab/>
        <w:t>12-18 months after Commission</w:t>
      </w:r>
    </w:p>
    <w:p>
      <w:pPr>
        <w:pStyle w:val="BodyText3"/>
        <w:tabs>
          <w:tab w:val="clear" w:pos="360"/>
          <w:tab w:val="left" w:pos="1080" w:leader="none"/>
          <w:tab w:val="left" w:pos="3510" w:leader="none"/>
        </w:tabs>
        <w:bidi w:val="0"/>
        <w:jc w:val="start"/>
        <w:rPr>
          <w:color w:val="000000"/>
          <w:u w:val="none"/>
        </w:rPr>
      </w:pPr>
      <w:r>
        <w:rPr>
          <w:color w:val="000000"/>
          <w:u w:val="none"/>
        </w:rPr>
        <w:tab/>
        <w:tab/>
        <w:t>Approval, when programming</w:t>
      </w:r>
    </w:p>
    <w:p>
      <w:pPr>
        <w:pStyle w:val="BodyText3"/>
        <w:tabs>
          <w:tab w:val="clear" w:pos="360"/>
          <w:tab w:val="left" w:pos="1080" w:leader="none"/>
          <w:tab w:val="left" w:pos="3510" w:leader="none"/>
        </w:tabs>
        <w:bidi w:val="0"/>
        <w:jc w:val="start"/>
        <w:rPr>
          <w:color w:val="000000"/>
          <w:u w:val="none"/>
        </w:rPr>
      </w:pPr>
      <w:r>
        <w:rPr>
          <w:color w:val="000000"/>
          <w:u w:val="none"/>
        </w:rPr>
        <w:tab/>
        <w:tab/>
        <w:t xml:space="preserve">Is completed </w:t>
      </w:r>
    </w:p>
    <w:p>
      <w:pPr>
        <w:pStyle w:val="BodyText3"/>
        <w:tabs>
          <w:tab w:val="clear" w:pos="360"/>
          <w:tab w:val="left" w:pos="1080" w:leader="none"/>
          <w:tab w:val="left" w:pos="3510" w:leader="none"/>
        </w:tabs>
        <w:bidi w:val="0"/>
        <w:jc w:val="start"/>
        <w:rPr>
          <w:color w:val="000000"/>
          <w:u w:val="none"/>
        </w:rPr>
      </w:pPr>
      <w:r>
        <w:rPr>
          <w:color w:val="000000"/>
          <w:u w:val="none"/>
        </w:rPr>
      </w:r>
    </w:p>
    <w:p>
      <w:pPr>
        <w:pStyle w:val="BodyText3"/>
        <w:tabs>
          <w:tab w:val="clear" w:pos="360"/>
          <w:tab w:val="left" w:pos="1080" w:leader="none"/>
          <w:tab w:val="left" w:pos="3960" w:leader="none"/>
        </w:tabs>
        <w:bidi w:val="0"/>
        <w:jc w:val="start"/>
        <w:rPr>
          <w:color w:val="000000"/>
          <w:u w:val="none"/>
        </w:rPr>
      </w:pPr>
      <w:r>
        <w:rPr>
          <w:color w:val="000000"/>
          <w:u w:val="none"/>
        </w:rPr>
        <w:t xml:space="preserve">Settlement Billing Credits </w:t>
        <w:tab/>
        <w:tab/>
        <w:tab/>
        <w:tab/>
        <w:tab/>
        <w:tab/>
        <w:tab/>
        <w:tab/>
        <w:t xml:space="preserve"> Adoption of </w:t>
      </w:r>
    </w:p>
    <w:p>
      <w:pPr>
        <w:pStyle w:val="BodyText3"/>
        <w:tabs>
          <w:tab w:val="clear" w:pos="360"/>
          <w:tab w:val="left" w:pos="1080" w:leader="none"/>
          <w:tab w:val="left" w:pos="6480" w:leader="none"/>
        </w:tabs>
        <w:bidi w:val="0"/>
        <w:jc w:val="start"/>
        <w:rPr>
          <w:color w:val="000000"/>
          <w:u w:val="none"/>
        </w:rPr>
      </w:pPr>
      <w:r>
        <w:rPr>
          <w:color w:val="000000"/>
          <w:u w:val="none"/>
        </w:rPr>
        <w:tab/>
        <w:tab/>
        <w:t xml:space="preserve"> New Credits</w:t>
      </w:r>
    </w:p>
    <w:p>
      <w:pPr>
        <w:pStyle w:val="BodyText3"/>
        <w:tabs>
          <w:tab w:val="clear" w:pos="360"/>
          <w:tab w:val="left" w:pos="1080" w:leader="none"/>
          <w:tab w:val="left" w:pos="6480" w:leader="none"/>
        </w:tabs>
        <w:bidi w:val="0"/>
        <w:jc w:val="start"/>
        <w:rPr>
          <w:color w:val="000000"/>
          <w:u w:val="none"/>
        </w:rPr>
      </w:pPr>
      <w:r>
        <w:rPr>
          <w:color w:val="000000"/>
          <w:u w:val="none"/>
        </w:rPr>
      </w:r>
    </w:p>
    <w:p>
      <w:pPr>
        <w:pStyle w:val="BodyText3"/>
        <w:tabs>
          <w:tab w:val="clear" w:pos="360"/>
          <w:tab w:val="left" w:pos="1080" w:leader="none"/>
          <w:tab w:val="left" w:pos="3510" w:leader="none"/>
        </w:tabs>
        <w:bidi w:val="0"/>
        <w:jc w:val="start"/>
        <w:rPr>
          <w:color w:val="000000"/>
          <w:u w:val="none"/>
        </w:rPr>
      </w:pPr>
      <w:r>
        <w:rPr>
          <w:color w:val="000000"/>
          <w:u w:val="none"/>
        </w:rPr>
        <w:t xml:space="preserve">New Billing Credits </w:t>
        <w:tab/>
        <w:t xml:space="preserve">The later of Commission </w:t>
      </w:r>
    </w:p>
    <w:p>
      <w:pPr>
        <w:pStyle w:val="BodyText3"/>
        <w:tabs>
          <w:tab w:val="clear" w:pos="360"/>
          <w:tab w:val="left" w:pos="1080" w:leader="none"/>
          <w:tab w:val="left" w:pos="3510" w:leader="none"/>
        </w:tabs>
        <w:bidi w:val="0"/>
        <w:jc w:val="start"/>
        <w:rPr>
          <w:color w:val="000000"/>
          <w:u w:val="none"/>
        </w:rPr>
      </w:pPr>
      <w:r>
        <w:rPr>
          <w:color w:val="000000"/>
          <w:u w:val="none"/>
        </w:rPr>
        <w:tab/>
        <w:tab/>
        <w:t>Approval or January 1, 2003</w:t>
      </w:r>
    </w:p>
    <w:p>
      <w:pPr>
        <w:pStyle w:val="BodyText3"/>
        <w:tabs>
          <w:tab w:val="clear" w:pos="360"/>
          <w:tab w:val="left" w:pos="1080" w:leader="none"/>
        </w:tabs>
        <w:bidi w:val="0"/>
        <w:jc w:val="start"/>
        <w:rPr>
          <w:color w:val="000000"/>
          <w:u w:val="none"/>
        </w:rPr>
      </w:pPr>
      <w:r>
        <w:rPr>
          <w:color w:val="000000"/>
          <w:u w:val="none"/>
        </w:rPr>
        <w:t xml:space="preserve"> </w:t>
      </w:r>
    </w:p>
    <w:p>
      <w:pPr>
        <w:pStyle w:val="BodyText3"/>
        <w:tabs>
          <w:tab w:val="clear" w:pos="360"/>
          <w:tab w:val="left" w:pos="1080" w:leader="none"/>
          <w:tab w:val="left" w:pos="3510" w:leader="none"/>
          <w:tab w:val="left" w:pos="3600" w:leader="none"/>
        </w:tabs>
        <w:bidi w:val="0"/>
        <w:jc w:val="start"/>
        <w:rPr>
          <w:color w:val="000000"/>
          <w:u w:val="none"/>
        </w:rPr>
      </w:pPr>
      <w:r>
        <w:rPr>
          <w:u w:val="none"/>
        </w:rPr>
        <w:t>Core Procurement/</w:t>
        <w:tab/>
        <w:t>Settlement filed 3 months</w:t>
      </w:r>
    </w:p>
    <w:p>
      <w:pPr>
        <w:pStyle w:val="BodyText3"/>
        <w:tabs>
          <w:tab w:val="clear" w:pos="360"/>
          <w:tab w:val="left" w:pos="1080" w:leader="none"/>
          <w:tab w:val="left" w:pos="3510" w:leader="none"/>
        </w:tabs>
        <w:bidi w:val="0"/>
        <w:jc w:val="start"/>
        <w:rPr>
          <w:u w:val="none"/>
        </w:rPr>
      </w:pPr>
      <w:r>
        <w:rPr>
          <w:u w:val="none"/>
        </w:rPr>
        <w:t>Brokerage Fee</w:t>
        <w:tab/>
        <w:t xml:space="preserve">After Commission Approval; </w:t>
      </w:r>
    </w:p>
    <w:p>
      <w:pPr>
        <w:pStyle w:val="BodyText3"/>
        <w:tabs>
          <w:tab w:val="clear" w:pos="360"/>
          <w:tab w:val="left" w:pos="1080" w:leader="none"/>
          <w:tab w:val="left" w:pos="3510" w:leader="none"/>
        </w:tabs>
        <w:bidi w:val="0"/>
        <w:jc w:val="start"/>
        <w:rPr>
          <w:u w:val="none"/>
        </w:rPr>
      </w:pPr>
      <w:r>
        <w:rPr>
          <w:u w:val="none"/>
        </w:rPr>
        <w:tab/>
        <w:tab/>
        <w:t xml:space="preserve">Or application filed 6 months </w:t>
      </w:r>
    </w:p>
    <w:p>
      <w:pPr>
        <w:pStyle w:val="BodyText3"/>
        <w:tabs>
          <w:tab w:val="clear" w:pos="360"/>
          <w:tab w:val="left" w:pos="1080" w:leader="none"/>
          <w:tab w:val="left" w:pos="3510" w:leader="none"/>
        </w:tabs>
        <w:bidi w:val="0"/>
        <w:jc w:val="start"/>
        <w:rPr>
          <w:u w:val="none"/>
        </w:rPr>
      </w:pPr>
      <w:r>
        <w:rPr>
          <w:u w:val="none"/>
        </w:rPr>
        <w:tab/>
        <w:tab/>
        <w:t>post Commission approval</w:t>
      </w:r>
    </w:p>
    <w:p>
      <w:pPr>
        <w:pStyle w:val="BodyText3"/>
        <w:tabs>
          <w:tab w:val="clear" w:pos="360"/>
          <w:tab w:val="left" w:pos="1080" w:leader="none"/>
          <w:tab w:val="left" w:pos="3510" w:leader="none"/>
        </w:tabs>
        <w:bidi w:val="0"/>
        <w:jc w:val="start"/>
        <w:rPr>
          <w:u w:val="none"/>
        </w:rPr>
      </w:pPr>
      <w:r>
        <w:rPr>
          <w:u w:val="none"/>
        </w:rPr>
      </w:r>
    </w:p>
    <w:p>
      <w:pPr>
        <w:pStyle w:val="Bullet2"/>
        <w:tabs>
          <w:tab w:val="clear" w:pos="360"/>
          <w:tab w:val="left" w:pos="3510" w:leader="none"/>
          <w:tab w:val="left" w:pos="6480" w:leader="none"/>
        </w:tabs>
        <w:bidi w:val="0"/>
        <w:spacing w:before="0" w:after="0"/>
        <w:ind w:hanging="6480" w:start="6480"/>
        <w:jc w:val="start"/>
        <w:rPr>
          <w:rFonts w:ascii="Arial" w:hAnsi="Arial"/>
        </w:rPr>
      </w:pPr>
      <w:r>
        <w:rPr>
          <w:rFonts w:ascii="Arial" w:hAnsi="Arial"/>
        </w:rPr>
        <w:t xml:space="preserve">Core Subscription </w:t>
        <w:tab/>
        <w:tab/>
        <w:t xml:space="preserve">April 1, 2001 for offering contracts; </w:t>
      </w:r>
    </w:p>
    <w:p>
      <w:pPr>
        <w:pStyle w:val="Bullet2"/>
        <w:tabs>
          <w:tab w:val="clear" w:pos="360"/>
          <w:tab w:val="left" w:pos="3510" w:leader="none"/>
          <w:tab w:val="left" w:pos="6480" w:leader="none"/>
        </w:tabs>
        <w:bidi w:val="0"/>
        <w:spacing w:before="0" w:after="0"/>
        <w:ind w:hanging="6480" w:start="6480"/>
        <w:jc w:val="start"/>
        <w:rPr>
          <w:rFonts w:ascii="Arial" w:hAnsi="Arial"/>
        </w:rPr>
      </w:pPr>
      <w:r>
        <w:rPr>
          <w:rFonts w:ascii="Arial" w:hAnsi="Arial"/>
        </w:rPr>
        <w:tab/>
        <w:tab/>
        <w:t xml:space="preserve">Later of 4/1/2001 or end of contract for expiration </w:t>
      </w:r>
    </w:p>
    <w:p>
      <w:pPr>
        <w:pStyle w:val="Bullet2"/>
        <w:tabs>
          <w:tab w:val="clear" w:pos="360"/>
          <w:tab w:val="left" w:pos="3510" w:leader="none"/>
          <w:tab w:val="left" w:pos="6480" w:leader="none"/>
        </w:tabs>
        <w:bidi w:val="0"/>
        <w:spacing w:before="0" w:after="0"/>
        <w:ind w:hanging="6480" w:start="6480"/>
        <w:jc w:val="start"/>
        <w:rPr>
          <w:rFonts w:ascii="Arial" w:hAnsi="Arial"/>
        </w:rPr>
      </w:pPr>
      <w:r>
        <w:rPr>
          <w:rFonts w:ascii="Arial" w:hAnsi="Arial"/>
        </w:rPr>
      </w:r>
    </w:p>
    <w:p>
      <w:pPr>
        <w:pStyle w:val="BodyText3"/>
        <w:tabs>
          <w:tab w:val="clear" w:pos="360"/>
          <w:tab w:val="left" w:pos="1080" w:leader="none"/>
        </w:tabs>
        <w:bidi w:val="0"/>
        <w:jc w:val="start"/>
        <w:rPr>
          <w:color w:val="000000"/>
          <w:u w:val="none"/>
        </w:rPr>
      </w:pPr>
      <w:r>
        <w:rPr>
          <w:color w:val="000000"/>
          <w:u w:val="none"/>
        </w:rPr>
        <w:t xml:space="preserve">Meter Ownership/ Add-on </w:t>
      </w:r>
    </w:p>
    <w:p>
      <w:pPr>
        <w:pStyle w:val="BodyText3"/>
        <w:tabs>
          <w:tab w:val="clear" w:pos="360"/>
          <w:tab w:val="left" w:pos="1080" w:leader="none"/>
          <w:tab w:val="left" w:pos="6480" w:leader="none"/>
        </w:tabs>
        <w:bidi w:val="0"/>
        <w:jc w:val="start"/>
        <w:rPr>
          <w:color w:val="000000"/>
          <w:u w:val="none"/>
        </w:rPr>
      </w:pPr>
      <w:r>
        <w:rPr>
          <w:color w:val="000000"/>
          <w:u w:val="none"/>
        </w:rPr>
        <w:t xml:space="preserve">Device Pilot Program </w:t>
        <w:tab/>
        <w:t xml:space="preserve">Dec. 31, 2002 </w:t>
      </w:r>
    </w:p>
    <w:p>
      <w:pPr>
        <w:pStyle w:val="Bullet2"/>
        <w:tabs>
          <w:tab w:val="clear" w:pos="360"/>
          <w:tab w:val="left" w:pos="3510" w:leader="none"/>
          <w:tab w:val="left" w:pos="6480" w:leader="none"/>
        </w:tabs>
        <w:bidi w:val="0"/>
        <w:spacing w:before="0" w:after="0"/>
        <w:ind w:hanging="6480" w:start="6480"/>
        <w:jc w:val="start"/>
        <w:rPr>
          <w:rFonts w:ascii="Arial" w:hAnsi="Arial"/>
        </w:rPr>
      </w:pPr>
      <w:r>
        <w:rPr>
          <w:rFonts w:ascii="Arial" w:hAnsi="Arial"/>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2"/>
      </w:rPr>
    </w:pPr>
    <w:r>
      <w:rPr>
        <w:sz w:val="22"/>
      </w:rPr>
      <w:t>-</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27</w:t>
    </w:r>
    <w:r>
      <w:rPr>
        <w:rStyle w:val="PageNumber"/>
        <w:sz w:val="22"/>
        <w:lang w:val="en-CA"/>
      </w:rPr>
      <w:fldChar w:fldCharType="end"/>
    </w:r>
    <w:r>
      <w:rPr>
        <w:rStyle w:val="PageNumber"/>
        <w:sz w:val="22"/>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22"/>
      </w:rPr>
    </w:pPr>
    <w:r>
      <w:rPr>
        <w:sz w:val="22"/>
      </w:rPr>
      <w:t>-</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27</w:t>
    </w:r>
    <w:r>
      <w:rPr>
        <w:rStyle w:val="PageNumber"/>
        <w:sz w:val="22"/>
        <w:lang w:val="en-CA"/>
      </w:rPr>
      <w:fldChar w:fldCharType="end"/>
    </w:r>
    <w:r>
      <w:rPr>
        <w:rStyle w:val="PageNumber"/>
        <w:sz w:val="22"/>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jc w:val="start"/>
        <w:rPr/>
      </w:pPr>
      <w:r>
        <w:rPr>
          <w:rStyle w:val="FootnoteCharacters"/>
        </w:rPr>
        <w:footnoteRef/>
      </w:r>
      <w:r>
        <w:rPr>
          <w:rFonts w:ascii="Arial" w:hAnsi="Arial"/>
        </w:rPr>
        <w:t xml:space="preserve"> </w:t>
      </w:r>
      <w:r>
        <w:rPr>
          <w:rFonts w:ascii="Arial" w:hAnsi="Arial"/>
        </w:rPr>
        <w:t>Other parties include California Industrial Group; California Manufacturers and Technology Association; California Utility Buyers;  Calpine Corporation; City of Vernon; Coral Energy Resources; Dynegy, Inc.; Enron, Inc.; GreenMountain.com; Indicated Producers, the members of which are Amoco Energy Trading Company, BP Amoco Corporation,, Burlington Resources, Chevron U.S.A. Inc., Conoco Inc., Texaco Natural Gas Inc., Occidental Energy Marketing Incorporated;  Office of Ratepayer Advocates; REMAC; Shell Energy Services; Southern California Edison Company; Transwestern Pipeline Company; TXU Energy Services; United Energy Management; Utility.com; Watson Cogeneration Company; Western Hub Properties; and Wild Goose Storage Inc.</w:t>
      </w:r>
    </w:p>
  </w:footnote>
  <w:footnote w:id="3">
    <w:p>
      <w:pPr>
        <w:pStyle w:val="FootnoteText"/>
        <w:widowControl w:val="false"/>
        <w:bidi w:val="0"/>
        <w:jc w:val="start"/>
        <w:rPr/>
      </w:pPr>
      <w:r>
        <w:rPr>
          <w:rStyle w:val="FootnoteCharacters"/>
        </w:rPr>
        <w:footnoteRef/>
      </w:r>
      <w:r>
        <w:rPr>
          <w:rFonts w:ascii="Arial" w:hAnsi="Arial"/>
        </w:rPr>
        <w:t xml:space="preserve"> </w:t>
      </w:r>
      <w:r>
        <w:rPr>
          <w:rFonts w:ascii="Arial" w:hAnsi="Arial"/>
        </w:rPr>
        <w:t>Throughout the testimony, I use the term “Energy Service Provider” or “ESP” to refer the broad group of gas and electric suppliers.  “Core Aggregators” and “Core Transport Agents” are alternate terms referring specifically to gas suppliers used in the Settlement Agreement, but are specifically included in my use of the term ESP.</w:t>
      </w:r>
    </w:p>
  </w:footnote>
  <w:footnote w:id="4">
    <w:p>
      <w:pPr>
        <w:pStyle w:val="FootnoteText"/>
        <w:widowControl w:val="false"/>
        <w:bidi w:val="0"/>
        <w:jc w:val="start"/>
        <w:rPr/>
      </w:pPr>
      <w:r>
        <w:rPr>
          <w:rStyle w:val="FootnoteCharacters"/>
        </w:rPr>
        <w:footnoteRef/>
      </w:r>
      <w:r>
        <w:rPr>
          <w:rFonts w:ascii="Arial" w:hAnsi="Arial"/>
        </w:rPr>
        <w:t xml:space="preserve"> </w:t>
      </w:r>
      <w:r>
        <w:rPr>
          <w:rFonts w:ascii="Arial" w:hAnsi="Arial"/>
        </w:rPr>
        <w:t>Based on extrapolating current participation and current volumes in the CTA program.</w:t>
      </w:r>
    </w:p>
  </w:footnote>
  <w:footnote w:id="5">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The experience of Peachtree Natural Gas in Georgia shows the importance of a reliable billing agent.  Peachtree declared bankruptcy and was forced to exit the market because of cash flow problems created by billing difficulties. Energy Market Solutions, </w:t>
      </w:r>
      <w:r>
        <w:rPr>
          <w:rFonts w:ascii="Arial" w:hAnsi="Arial"/>
          <w:i/>
        </w:rPr>
        <w:t>Natural Gas War</w:t>
      </w:r>
      <w:r>
        <w:rPr>
          <w:rFonts w:ascii="Arial" w:hAnsi="Arial"/>
        </w:rPr>
        <w:t>, p. 73</w:t>
      </w:r>
    </w:p>
  </w:footnote>
  <w:footnote w:id="6">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Crandall, Robert and Jerry Ellig, </w:t>
      </w:r>
      <w:r>
        <w:rPr>
          <w:rFonts w:ascii="Arial" w:hAnsi="Arial"/>
          <w:i/>
        </w:rPr>
        <w:t>Economic Deregulation and Customer Choice: Lessons for the</w:t>
      </w:r>
      <w:r>
        <w:rPr>
          <w:rFonts w:ascii="Arial" w:hAnsi="Arial"/>
        </w:rPr>
        <w:t xml:space="preserve"> </w:t>
      </w:r>
      <w:r>
        <w:rPr>
          <w:rFonts w:ascii="Arial" w:hAnsi="Arial"/>
          <w:i/>
        </w:rPr>
        <w:t>Electric Industry</w:t>
      </w:r>
      <w:r>
        <w:rPr>
          <w:rFonts w:ascii="Arial" w:hAnsi="Arial"/>
        </w:rPr>
        <w:t>, 1997.</w:t>
      </w:r>
    </w:p>
  </w:footnote>
  <w:footnote w:id="7">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The level pay programs offered by utilities are bill balancing options for customers, but not pricing options.  For examples of pricing options in other states, see ESP pricing in Ohio, </w:t>
      </w:r>
      <w:hyperlink r:id="rId1">
        <w:r>
          <w:rPr>
            <w:rStyle w:val="Hyperlink"/>
            <w:rFonts w:ascii="Arial" w:hAnsi="Arial"/>
          </w:rPr>
          <w:t>http://www.puc.state.oh.us/CONSUMER/GASCHOICE/COH_Matrix.html</w:t>
        </w:r>
      </w:hyperlink>
      <w:r>
        <w:rPr>
          <w:rFonts w:ascii="Arial" w:hAnsi="Arial"/>
        </w:rPr>
        <w:t>.</w:t>
      </w:r>
    </w:p>
  </w:footnote>
  <w:footnote w:id="8">
    <w:p>
      <w:pPr>
        <w:pStyle w:val="FootnoteText"/>
        <w:widowControl w:val="false"/>
        <w:bidi w:val="0"/>
        <w:jc w:val="start"/>
        <w:rPr/>
      </w:pPr>
      <w:r>
        <w:rPr>
          <w:rStyle w:val="FootnoteCharacters"/>
        </w:rPr>
        <w:footnoteRef/>
      </w:r>
      <w:r>
        <w:rPr>
          <w:rFonts w:ascii="Arial" w:hAnsi="Arial"/>
        </w:rPr>
        <w:t xml:space="preserve"> </w:t>
      </w:r>
      <w:r>
        <w:rPr>
          <w:rFonts w:ascii="Arial" w:hAnsi="Arial"/>
        </w:rPr>
        <w:t>For example, Ohio, Georgia, and parts of New York, Maryland, Massachusetts, and Virginia.</w:t>
      </w:r>
    </w:p>
  </w:footnote>
  <w:footnote w:id="9">
    <w:p>
      <w:pPr>
        <w:pStyle w:val="FootnoteText"/>
        <w:widowControl w:val="false"/>
        <w:bidi w:val="0"/>
        <w:jc w:val="start"/>
        <w:rPr/>
      </w:pPr>
      <w:r>
        <w:rPr>
          <w:rStyle w:val="FootnoteCharacters"/>
        </w:rPr>
        <w:footnoteRef/>
      </w:r>
      <w:r>
        <w:rPr>
          <w:rFonts w:ascii="Arial" w:hAnsi="Arial"/>
        </w:rPr>
        <w:t xml:space="preserve"> </w:t>
      </w:r>
      <w:r>
        <w:rPr>
          <w:rFonts w:ascii="Arial" w:hAnsi="Arial"/>
        </w:rPr>
        <w:t>Recovery of these costs is detailed in section V.A.</w:t>
      </w:r>
    </w:p>
  </w:footnote>
  <w:footnote w:id="10">
    <w:p>
      <w:pPr>
        <w:pStyle w:val="FootnoteText"/>
        <w:widowControl w:val="false"/>
        <w:bidi w:val="0"/>
        <w:jc w:val="start"/>
        <w:rPr/>
      </w:pPr>
      <w:r>
        <w:rPr>
          <w:rStyle w:val="FootnoteCharacters"/>
        </w:rPr>
        <w:footnoteRef/>
      </w:r>
      <w:r>
        <w:rPr>
          <w:rFonts w:ascii="Arial" w:hAnsi="Arial"/>
        </w:rPr>
        <w:t xml:space="preserve"> </w:t>
      </w:r>
      <w:r>
        <w:rPr>
          <w:rFonts w:ascii="Arial" w:hAnsi="Arial"/>
        </w:rPr>
        <w:t>These are rough approximations since the Commission did not authorize individual cost items, but a percentage of all the internally and externally managed costs. The Commission also authorized SDG&amp;E to spend $6.5 million to automate the customer choice process and institute utility consolidated billing for electric customers.  put in citations here.</w:t>
      </w:r>
    </w:p>
  </w:footnote>
  <w:footnote w:id="11">
    <w:p>
      <w:pPr>
        <w:pStyle w:val="FootnoteText"/>
        <w:widowControl w:val="false"/>
        <w:bidi w:val="0"/>
        <w:jc w:val="start"/>
        <w:rPr/>
      </w:pPr>
      <w:r>
        <w:rPr>
          <w:rStyle w:val="FootnoteCharacters"/>
        </w:rPr>
        <w:footnoteRef/>
      </w:r>
      <w:r>
        <w:rPr>
          <w:rFonts w:ascii="Arial" w:hAnsi="Arial"/>
        </w:rPr>
        <w:t xml:space="preserve"> </w:t>
      </w:r>
      <w:r>
        <w:rPr>
          <w:rFonts w:ascii="Arial" w:hAnsi="Arial"/>
        </w:rPr>
        <w:t>See section V.B.</w:t>
      </w:r>
    </w:p>
  </w:footnote>
  <w:footnote w:id="12">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See </w:t>
      </w:r>
      <w:hyperlink r:id="rId2">
        <w:r>
          <w:rPr>
            <w:rStyle w:val="Hyperlink"/>
            <w:rFonts w:ascii="Arial" w:hAnsi="Arial"/>
          </w:rPr>
          <w:t>http://www.puc.state.oh.us/consumer/index.html</w:t>
        </w:r>
      </w:hyperlink>
      <w:r>
        <w:rPr>
          <w:rFonts w:ascii="Arial" w:hAnsi="Arial"/>
        </w:rPr>
        <w:t>, specifically the Commission Staff Report on Natural Gas, “Customer Choice Status Report,” p. 2-12.</w:t>
      </w:r>
    </w:p>
  </w:footnote>
  <w:footnote w:id="13">
    <w:p>
      <w:pPr>
        <w:pStyle w:val="FootnoteText"/>
        <w:widowControl w:val="false"/>
        <w:bidi w:val="0"/>
        <w:jc w:val="start"/>
        <w:rPr/>
      </w:pPr>
      <w:r>
        <w:rPr>
          <w:rStyle w:val="FootnoteCharacters"/>
        </w:rPr>
        <w:footnoteRef/>
      </w:r>
      <w:r>
        <w:rPr>
          <w:rFonts w:ascii="Arial" w:hAnsi="Arial"/>
        </w:rPr>
        <w:t xml:space="preserve"> </w:t>
      </w:r>
      <w:r>
        <w:rPr>
          <w:rFonts w:ascii="Arial" w:hAnsi="Arial"/>
        </w:rPr>
        <w:t>For ESPs that provide gas only to a gas and electric customer, SDG&amp;E does not avoid the costs related to bill distribution, remittance processing, collections, electric uncollectible expenses, and billing inquiries; so the credits are also appropriate in the case where SDG&amp;E continues to send and electric bill.</w:t>
      </w:r>
    </w:p>
  </w:footnote>
  <w:footnote w:id="14">
    <w:p>
      <w:pPr>
        <w:pStyle w:val="FootnoteText"/>
        <w:widowControl w:val="false"/>
        <w:bidi w:val="0"/>
        <w:jc w:val="start"/>
        <w:rPr/>
      </w:pPr>
      <w:r>
        <w:rPr>
          <w:rStyle w:val="FootnoteCharacters"/>
        </w:rPr>
        <w:footnoteRef/>
      </w:r>
      <w:r>
        <w:rPr>
          <w:rFonts w:ascii="Arial" w:hAnsi="Arial"/>
        </w:rPr>
        <w:t xml:space="preserve"> </w:t>
      </w:r>
      <w:r>
        <w:rPr>
          <w:rFonts w:ascii="Arial" w:hAnsi="Arial"/>
        </w:rPr>
        <w:t>D.97-04-082, finding of fact number 71 for SoCalGas and number 106 for SDG&amp;E.</w:t>
      </w:r>
    </w:p>
  </w:footnote>
  <w:footnote w:id="15">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Footnote on current advice letter on changing the threshold </w:t>
      </w:r>
    </w:p>
  </w:footnote>
  <w:footnote w:id="16">
    <w:p>
      <w:pPr>
        <w:pStyle w:val="FootnoteText"/>
        <w:widowControl w:val="false"/>
        <w:bidi w:val="0"/>
        <w:jc w:val="start"/>
        <w:rPr/>
      </w:pPr>
      <w:r>
        <w:rPr>
          <w:rStyle w:val="FootnoteCharacters"/>
        </w:rPr>
        <w:footnoteRef/>
      </w:r>
      <w:r>
        <w:rPr>
          <w:rFonts w:ascii="Arial" w:hAnsi="Arial"/>
        </w:rPr>
        <w:t xml:space="preserve"> </w:t>
      </w:r>
      <w:r>
        <w:rPr>
          <w:rFonts w:ascii="Arial" w:hAnsi="Arial"/>
        </w:rPr>
        <w:t>footnote on depreciation schedule</w:t>
      </w:r>
    </w:p>
  </w:footnote>
  <w:footnote w:id="17">
    <w:p>
      <w:pPr>
        <w:pStyle w:val="FootnoteText"/>
        <w:widowControl w:val="false"/>
        <w:bidi w:val="0"/>
        <w:jc w:val="start"/>
        <w:rPr/>
      </w:pPr>
      <w:r>
        <w:rPr>
          <w:rStyle w:val="FootnoteCharacters"/>
        </w:rPr>
        <w:footnoteRef/>
      </w:r>
      <w:r>
        <w:rPr>
          <w:rFonts w:ascii="Arial" w:hAnsi="Arial"/>
        </w:rPr>
        <w:t xml:space="preserve"> </w:t>
      </w:r>
      <w:r>
        <w:rPr>
          <w:rFonts w:ascii="Arial" w:hAnsi="Arial"/>
        </w:rPr>
        <w:t>footnote on depreciation schedule</w:t>
      </w:r>
    </w:p>
  </w:footnote>
  <w:footnote w:id="18">
    <w:p>
      <w:pPr>
        <w:pStyle w:val="FootnoteText"/>
        <w:widowControl w:val="false"/>
        <w:bidi w:val="0"/>
        <w:jc w:val="start"/>
        <w:rPr/>
      </w:pPr>
      <w:r>
        <w:rPr>
          <w:rStyle w:val="FootnoteCharacters"/>
        </w:rPr>
        <w:footnoteRef/>
      </w:r>
      <w:r>
        <w:rPr>
          <w:rFonts w:ascii="Arial" w:hAnsi="Arial"/>
        </w:rPr>
        <w:t xml:space="preserve"> </w:t>
      </w:r>
      <w:r>
        <w:rPr>
          <w:rFonts w:ascii="Arial" w:hAnsi="Arial"/>
        </w:rPr>
        <w:t>For example, see the New York Department of Public Service, 1999 Natural Gas Survey, bill savings was the most important factor followed by reliability.</w:t>
      </w:r>
    </w:p>
  </w:footnote>
  <w:footnote w:id="19">
    <w:p>
      <w:pPr>
        <w:pStyle w:val="FootnoteText"/>
        <w:widowControl w:val="false"/>
        <w:bidi w:val="0"/>
        <w:jc w:val="start"/>
        <w:rPr/>
      </w:pPr>
      <w:r>
        <w:rPr>
          <w:rStyle w:val="FootnoteCharacters"/>
        </w:rPr>
        <w:footnoteRef/>
      </w:r>
      <w:r>
        <w:rPr>
          <w:rFonts w:ascii="Arial" w:hAnsi="Arial"/>
        </w:rPr>
        <w:t xml:space="preserve">   </w:t>
      </w:r>
      <w:r>
        <w:rPr>
          <w:rFonts w:ascii="Arial" w:hAnsi="Arial"/>
        </w:rPr>
        <w:t>Citation</w:t>
      </w:r>
    </w:p>
  </w:footnote>
  <w:footnote w:id="20">
    <w:p>
      <w:pPr>
        <w:pStyle w:val="FootnoteText"/>
        <w:widowControl w:val="false"/>
        <w:bidi w:val="0"/>
        <w:jc w:val="start"/>
        <w:rPr/>
      </w:pPr>
      <w:r>
        <w:rPr>
          <w:rStyle w:val="FootnoteCharacters"/>
        </w:rPr>
        <w:footnoteRef/>
      </w:r>
      <w:r>
        <w:rPr>
          <w:rFonts w:ascii="Arial" w:hAnsi="Arial"/>
        </w:rPr>
        <w:t xml:space="preserve">   </w:t>
      </w:r>
      <w:r>
        <w:rPr>
          <w:rFonts w:ascii="Arial" w:hAnsi="Arial"/>
        </w:rPr>
        <w:t>Citation</w:t>
      </w:r>
    </w:p>
  </w:footnote>
  <w:footnote w:id="21">
    <w:p>
      <w:pPr>
        <w:pStyle w:val="FootnoteText"/>
        <w:widowControl w:val="false"/>
        <w:bidi w:val="0"/>
        <w:jc w:val="start"/>
        <w:rPr/>
      </w:pPr>
      <w:r>
        <w:rPr>
          <w:rStyle w:val="FootnoteCharacters"/>
        </w:rPr>
        <w:footnoteRef/>
      </w:r>
      <w:r>
        <w:rPr>
          <w:rFonts w:ascii="Arial" w:hAnsi="Arial"/>
        </w:rPr>
        <w:t xml:space="preserve">   </w:t>
      </w:r>
      <w:r>
        <w:rPr>
          <w:rFonts w:ascii="Arial" w:hAnsi="Arial"/>
        </w:rPr>
        <w:t>Details of Gillian Wright’s calculation</w:t>
      </w:r>
    </w:p>
  </w:footnote>
  <w:footnote w:id="22">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See </w:t>
      </w:r>
      <w:hyperlink r:id="rId3">
        <w:r>
          <w:rPr>
            <w:rStyle w:val="Hyperlink"/>
            <w:rFonts w:ascii="Arial" w:hAnsi="Arial"/>
          </w:rPr>
          <w:t>http://www.puc.state.oh.us/consumer/index.html</w:t>
        </w:r>
      </w:hyperlink>
      <w:r>
        <w:rPr>
          <w:rFonts w:ascii="Arial" w:hAnsi="Arial"/>
        </w:rPr>
        <w:t>, “Participating Gas Suppliers.”</w:t>
      </w:r>
    </w:p>
  </w:footnote>
  <w:footnote w:id="23">
    <w:p>
      <w:pPr>
        <w:pStyle w:val="FootnoteText"/>
        <w:widowControl w:val="false"/>
        <w:bidi w:val="0"/>
        <w:jc w:val="start"/>
        <w:rPr/>
      </w:pPr>
      <w:r>
        <w:rPr>
          <w:rStyle w:val="FootnoteCharacters"/>
        </w:rPr>
        <w:footnoteRef/>
      </w:r>
      <w:r>
        <w:rPr>
          <w:rFonts w:ascii="Arial" w:hAnsi="Arial"/>
        </w:rPr>
        <w:t xml:space="preserve"> </w:t>
      </w:r>
      <w:r>
        <w:rPr>
          <w:rFonts w:ascii="Arial" w:hAnsi="Arial"/>
        </w:rPr>
        <w:t xml:space="preserve">See </w:t>
      </w:r>
      <w:hyperlink r:id="rId4">
        <w:r>
          <w:rPr>
            <w:rStyle w:val="Hyperlink"/>
            <w:rFonts w:ascii="Arial" w:hAnsi="Arial"/>
          </w:rPr>
          <w:t>http://www.puc.state.oh.us/consumer/index.html</w:t>
        </w:r>
      </w:hyperlink>
      <w:r>
        <w:rPr>
          <w:rFonts w:ascii="Arial" w:hAnsi="Arial"/>
        </w:rPr>
        <w:t>, specifically the Commission Staff Report on Natural Gas, “Customer Choice Status Report,” pp. 1-12  and 1-16.</w:t>
      </w:r>
    </w:p>
  </w:footnote>
  <w:footnote w:id="24">
    <w:p>
      <w:pPr>
        <w:pStyle w:val="FootnoteText"/>
        <w:bidi w:val="0"/>
        <w:jc w:val="start"/>
        <w:rPr>
          <w:rFonts w:ascii="Arial" w:hAnsi="Arial"/>
        </w:rPr>
      </w:pPr>
      <w:r>
        <w:rPr>
          <w:rStyle w:val="FootnoteCharacters"/>
        </w:rPr>
        <w:footnoteRef/>
      </w:r>
      <w:r>
        <w:rPr>
          <w:rFonts w:ascii="Arial" w:hAnsi="Arial"/>
        </w:rPr>
        <w:t xml:space="preserve">  </w:t>
      </w:r>
      <w:r>
        <w:rPr>
          <w:rFonts w:ascii="Arial" w:hAnsi="Arial"/>
        </w:rPr>
        <w:t xml:space="preserve">See, </w:t>
      </w:r>
      <w:hyperlink r:id="rId5">
        <w:r>
          <w:rPr>
            <w:rStyle w:val="Hyperlink"/>
          </w:rPr>
          <w:t>http://www.aglc.com/deregulation/marketers.htm</w:t>
        </w:r>
      </w:hyperlink>
      <w:r>
        <w:rPr>
          <w:rFonts w:ascii="Arial" w:hAnsi="Arial"/>
        </w:rPr>
        <w:t xml:space="preserve">, and Energy Market Solutions, </w:t>
      </w:r>
      <w:r>
        <w:rPr>
          <w:rFonts w:ascii="Arial" w:hAnsi="Arial"/>
          <w:i/>
        </w:rPr>
        <w:t>Natural Gas War.</w:t>
      </w:r>
    </w:p>
    <w:p>
      <w:pPr>
        <w:pStyle w:val="FootnoteText"/>
        <w:widowControl w:val="false"/>
        <w:bidi w:val="0"/>
        <w:jc w:val="star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sz w:val="22"/>
      </w:rPr>
    </w:pPr>
    <w:r>
      <w:rPr>
        <w:sz w:val="22"/>
      </w:rPr>
      <w:t>Southern California Gas Company and San Diego Gas and Electric Company</w:t>
    </w:r>
  </w:p>
  <w:p>
    <w:pPr>
      <w:pStyle w:val="Header"/>
      <w:bidi w:val="0"/>
      <w:jc w:val="center"/>
      <w:rPr>
        <w:rFonts w:ascii="Times New Roman" w:hAnsi="Times New Roman"/>
        <w:sz w:val="22"/>
      </w:rPr>
    </w:pPr>
    <w:r>
      <w:rPr>
        <w:sz w:val="22"/>
      </w:rPr>
      <w:t xml:space="preserve">Testimony Supporting the Gas OII Comprehensive Settlement </w:t>
    </w:r>
  </w:p>
  <w:p>
    <w:pPr>
      <w:pStyle w:val="Header"/>
      <w:bidi w:val="0"/>
      <w:jc w:val="center"/>
      <w:rPr>
        <w:rFonts w:ascii="Times New Roman" w:hAnsi="Times New Roman"/>
        <w:sz w:val="28"/>
      </w:rPr>
    </w:pPr>
    <w:r>
      <w:rPr>
        <w:sz w:val="28"/>
      </w:rPr>
      <w:t>DRAFT # 1    4/25/2000</w:t>
    </w:r>
  </w:p>
  <w:p>
    <w:pPr>
      <w:pStyle w:val="Header"/>
      <w:bidi w:val="0"/>
      <w:jc w:val="center"/>
      <w:rPr>
        <w:rFonts w:ascii="Times New Roman" w:hAnsi="Times New Roman"/>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sz w:val="22"/>
      </w:rPr>
    </w:pPr>
    <w:r>
      <w:rPr>
        <w:sz w:val="22"/>
      </w:rPr>
      <w:t>Southern California Gas Company and San Diego Gas and Electric Company</w:t>
    </w:r>
  </w:p>
  <w:p>
    <w:pPr>
      <w:pStyle w:val="Header"/>
      <w:bidi w:val="0"/>
      <w:jc w:val="center"/>
      <w:rPr>
        <w:rFonts w:ascii="Times New Roman" w:hAnsi="Times New Roman"/>
        <w:sz w:val="22"/>
      </w:rPr>
    </w:pPr>
    <w:r>
      <w:rPr>
        <w:sz w:val="22"/>
      </w:rPr>
      <w:t xml:space="preserve">Testimony Supporting the Gas OII Comprehensive Settlement </w:t>
    </w:r>
  </w:p>
  <w:p>
    <w:pPr>
      <w:pStyle w:val="Header"/>
      <w:bidi w:val="0"/>
      <w:jc w:val="center"/>
      <w:rPr>
        <w:rFonts w:ascii="Times New Roman" w:hAnsi="Times New Roman"/>
        <w:sz w:val="28"/>
      </w:rPr>
    </w:pPr>
    <w:r>
      <w:rPr>
        <w:sz w:val="28"/>
      </w:rPr>
      <w:t>DRAFT # 1    4/25/2000</w:t>
    </w:r>
  </w:p>
  <w:p>
    <w:pPr>
      <w:pStyle w:val="Header"/>
      <w:bidi w:val="0"/>
      <w:jc w:val="center"/>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36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ACTIVE" w:val="nelson_testimony_425a.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val="false"/>
      <w:spacing w:before="0" w:after="120"/>
    </w:pPr>
    <w:rPr>
      <w:b/>
      <w:sz w:val="20"/>
      <w:u w:val="single"/>
    </w:rPr>
  </w:style>
  <w:style w:type="paragraph" w:styleId="Heading2">
    <w:name w:val="heading 2"/>
    <w:basedOn w:val="Normal"/>
    <w:next w:val="Normal"/>
    <w:qFormat/>
    <w:pPr>
      <w:keepNext w:val="true"/>
      <w:widowControl w:val="false"/>
      <w:spacing w:before="0" w:after="120"/>
      <w:ind w:hanging="0" w:start="360"/>
    </w:pPr>
    <w:rPr>
      <w:sz w:val="20"/>
      <w:u w:val="single"/>
    </w:rPr>
  </w:style>
  <w:style w:type="paragraph" w:styleId="Heading3">
    <w:name w:val="heading 3"/>
    <w:basedOn w:val="Normal"/>
    <w:next w:val="Normal"/>
    <w:qFormat/>
    <w:pPr>
      <w:keepNext w:val="true"/>
      <w:widowControl/>
      <w:tabs>
        <w:tab w:val="left" w:pos="360" w:leader="none"/>
      </w:tabs>
      <w:spacing w:before="0" w:after="120"/>
      <w:ind w:hanging="720" w:start="720"/>
    </w:pPr>
    <w:rPr>
      <w:b/>
      <w:sz w:val="20"/>
    </w:rPr>
  </w:style>
  <w:style w:type="paragraph" w:styleId="Heading5">
    <w:name w:val="heading 5"/>
    <w:basedOn w:val="Normal"/>
    <w:next w:val="Normal"/>
    <w:qFormat/>
    <w:pPr>
      <w:keepNext w:val="true"/>
      <w:widowControl w:val="false"/>
      <w:jc w:val="both"/>
    </w:pPr>
    <w:rPr>
      <w:rFonts w:ascii="Arial" w:hAnsi="Arial"/>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auto" w:line="360" w:before="240" w:after="0"/>
      <w:ind w:firstLine="720"/>
    </w:pPr>
    <w:rPr>
      <w:rFonts w:ascii="Arial" w:hAnsi="Arial"/>
    </w:rPr>
  </w:style>
  <w:style w:type="paragraph" w:styleId="BodyTextIndent2">
    <w:name w:val="Body Text Indent 2"/>
    <w:basedOn w:val="Normal"/>
    <w:qFormat/>
    <w:pPr>
      <w:widowControl/>
      <w:tabs>
        <w:tab w:val="clear" w:pos="360"/>
        <w:tab w:val="left" w:pos="720" w:leader="none"/>
      </w:tabs>
      <w:spacing w:before="0" w:after="120"/>
      <w:ind w:hanging="360" w:start="1080"/>
    </w:pPr>
    <w:rPr>
      <w:sz w:val="20"/>
    </w:rPr>
  </w:style>
  <w:style w:type="paragraph" w:styleId="BodyTextIndent3">
    <w:name w:val="Body Text Indent 3"/>
    <w:basedOn w:val="Normal"/>
    <w:qFormat/>
    <w:pPr>
      <w:widowControl/>
      <w:tabs>
        <w:tab w:val="clear" w:pos="360"/>
        <w:tab w:val="left" w:pos="720" w:leader="none"/>
      </w:tabs>
      <w:spacing w:before="0" w:after="120"/>
      <w:ind w:hanging="360" w:start="1440"/>
    </w:pPr>
    <w:rPr>
      <w:sz w:val="20"/>
    </w:rPr>
  </w:style>
  <w:style w:type="paragraph" w:styleId="Bullet3">
    <w:name w:val="Bullet 3"/>
    <w:basedOn w:val="Normal"/>
    <w:qFormat/>
    <w:pPr>
      <w:widowControl/>
      <w:spacing w:before="60" w:after="0"/>
      <w:ind w:hanging="720" w:start="1440"/>
    </w:pPr>
    <w:rPr/>
  </w:style>
  <w:style w:type="paragraph" w:styleId="Bullet4">
    <w:name w:val="Bullet 4"/>
    <w:basedOn w:val="Normal"/>
    <w:qFormat/>
    <w:pPr>
      <w:widowControl/>
      <w:spacing w:before="60" w:after="0"/>
      <w:ind w:hanging="936" w:start="2016"/>
    </w:pPr>
    <w:rPr/>
  </w:style>
  <w:style w:type="paragraph" w:styleId="BodyTextContinued">
    <w:name w:val="Body Text Continued"/>
    <w:basedOn w:val="BodyText"/>
    <w:next w:val="BodyText"/>
    <w:qFormat/>
    <w:pPr>
      <w:widowControl w:val="false"/>
      <w:spacing w:before="0" w:after="240"/>
      <w:ind w:hanging="0" w:start="0"/>
    </w:pPr>
    <w:rPr/>
  </w:style>
  <w:style w:type="paragraph" w:styleId="Bullet2">
    <w:name w:val="Bullet 2"/>
    <w:basedOn w:val="Normal"/>
    <w:qFormat/>
    <w:pPr>
      <w:widowControl/>
      <w:spacing w:before="120" w:after="0"/>
      <w:ind w:hanging="576" w:start="936"/>
    </w:pPr>
    <w:rPr/>
  </w:style>
  <w:style w:type="paragraph" w:styleId="HeaderandFooter">
    <w:name w:val="Header and Footer"/>
    <w:basedOn w:val="Normal"/>
    <w:qFormat/>
    <w:pPr/>
    <w:rPr/>
  </w:style>
  <w:style w:type="paragraph" w:styleId="Header">
    <w:name w:val="header"/>
    <w:basedOn w:val="Normal"/>
    <w:pPr>
      <w:widowControl/>
      <w:tabs>
        <w:tab w:val="clear" w:pos="360"/>
        <w:tab w:val="center" w:pos="4320" w:leader="none"/>
        <w:tab w:val="right" w:pos="8640" w:leader="none"/>
      </w:tabs>
    </w:pPr>
    <w:rPr>
      <w:sz w:val="20"/>
    </w:rPr>
  </w:style>
  <w:style w:type="paragraph" w:styleId="PlainText">
    <w:name w:val="Plain Text"/>
    <w:basedOn w:val="Normal"/>
    <w:qFormat/>
    <w:pPr>
      <w:widowControl/>
    </w:pPr>
    <w:rPr>
      <w:rFonts w:ascii="Courier New" w:hAnsi="Courier New"/>
      <w:sz w:val="20"/>
    </w:rPr>
  </w:style>
  <w:style w:type="paragraph" w:styleId="BodyText3">
    <w:name w:val="Body Text 3"/>
    <w:basedOn w:val="Normal"/>
    <w:qFormat/>
    <w:pPr>
      <w:widowControl w:val="false"/>
    </w:pPr>
    <w:rPr>
      <w:rFonts w:ascii="Arial" w:hAnsi="Arial"/>
      <w:u w:val="single"/>
    </w:rPr>
  </w:style>
  <w:style w:type="paragraph" w:styleId="FootnoteText">
    <w:name w:val="footnote text"/>
    <w:basedOn w:val="Normal"/>
    <w:pPr>
      <w:widowControl w:val="false"/>
    </w:pPr>
    <w:rPr>
      <w:sz w:val="20"/>
    </w:rPr>
  </w:style>
  <w:style w:type="paragraph" w:styleId="DocumentMap">
    <w:name w:val="Document Map"/>
    <w:basedOn w:val="Normal"/>
    <w:qFormat/>
    <w:pPr>
      <w:widowControl w:val="false"/>
      <w:shd w:fill="000080"/>
    </w:pPr>
    <w:rPr>
      <w:rFonts w:ascii="Tahoma" w:hAnsi="Tahoma"/>
      <w:sz w:val="20"/>
    </w:rPr>
  </w:style>
  <w:style w:type="paragraph" w:styleId="Footer">
    <w:name w:val="footer"/>
    <w:basedOn w:val="Normal"/>
    <w:pPr>
      <w:widowControl/>
      <w:tabs>
        <w:tab w:val="clear" w:pos="360"/>
        <w:tab w:val="center" w:pos="4320" w:leader="none"/>
        <w:tab w:val="right" w:pos="8640" w:leader="none"/>
      </w:tabs>
    </w:pPr>
    <w:rPr>
      <w:rFonts w:ascii="Arial" w:hAnsi="Arial"/>
    </w:rPr>
  </w:style>
  <w:style w:type="paragraph" w:styleId="Subtitle">
    <w:name w:val="Subtitle"/>
    <w:basedOn w:val="Normal"/>
    <w:qFormat/>
    <w:pPr>
      <w:widowContro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puc.state.oh.us/CONSUMER/GASCHOICE/COH_Matrix.html" TargetMode="External"/><Relationship Id="rId2" Type="http://schemas.openxmlformats.org/officeDocument/2006/relationships/hyperlink" Target="http://www.puc.state.oh.us/consumer/index.html" TargetMode="External"/><Relationship Id="rId3" Type="http://schemas.openxmlformats.org/officeDocument/2006/relationships/hyperlink" Target="http://www.puc.state.oh.us/consumer/index.html" TargetMode="External"/><Relationship Id="rId4" Type="http://schemas.openxmlformats.org/officeDocument/2006/relationships/hyperlink" Target="http://www.puc.state.oh.us/consumer/index.html" TargetMode="External"/><Relationship Id="rId5" Type="http://schemas.openxmlformats.org/officeDocument/2006/relationships/hyperlink" Target="http://www.aglc.com/deregulation/marketers.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8604</Words>
  <Characters>60231</Characters>
  <CharactersWithSpaces>49046</CharactersWithSpaces>
  <Company>Sempra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2000-04-26T15:46:00Z</dcterms:created>
  <dc:creator>So Cal Gas Co</dc:creator>
  <dc:description/>
  <dc:language>en-CA</dc:language>
  <cp:lastModifiedBy/>
  <cp:lastPrinted>2000-04-23T19:26:00Z</cp:lastPrinted>
  <dcterms:modified xsi:type="dcterms:W3CDTF">2000-04-26T16:01:00Z</dcterms:modified>
  <cp:revision>6</cp:revision>
  <dc:subject/>
  <dc:title>Summary of Promising Options (Policy Testimony Overview of Potential Costs and Benefits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Sempra Energy</vt:lpwstr>
  </property>
</Properties>
</file>