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s>
        <w:ind w:firstLine="720" w:end="0"/>
        <w:rPr/>
      </w:pPr>
      <w:r>
        <w:rPr/>
      </w:r>
    </w:p>
    <w:p>
      <w:pPr>
        <w:pStyle w:val="Normal"/>
        <w:jc w:val="center"/>
        <w:rPr>
          <w:b/>
          <w:u w:val="single"/>
        </w:rPr>
      </w:pPr>
      <w:r>
        <w:rPr>
          <w:b/>
          <w:u w:val="single"/>
        </w:rPr>
        <w:t>Arguments For ESP Recovery of Negative CTC</w:t>
      </w:r>
    </w:p>
    <w:p>
      <w:pPr>
        <w:pStyle w:val="Normal"/>
        <w:jc w:val="center"/>
        <w:rPr>
          <w:b/>
          <w:u w:val="single"/>
        </w:rPr>
      </w:pPr>
      <w:r>
        <w:rPr>
          <w:b/>
          <w:u w:val="single"/>
        </w:rPr>
      </w:r>
    </w:p>
    <w:p>
      <w:pPr>
        <w:pStyle w:val="Normal"/>
        <w:numPr>
          <w:ilvl w:val="0"/>
          <w:numId w:val="5"/>
        </w:numPr>
        <w:rPr/>
      </w:pPr>
      <w:r>
        <w:rPr/>
        <w:t>The utilities entered into stipulations with Enron and the Western Power Trading Forum that eliminated the zero minimum bill.  The CPUC in Decision D.99-06-058 explicitly approved the above stipulations that included elimination of the zero minimum bill, thereby specifically overturning an earlier CPUC decision in D.97-08-056 and Energy Resolution E-3510 that established the maximum PX Credit equal to the otherwise applicable bundled bill such that a customer would not receive a negative bill (credit), even if the PX Credit exceeded the total bundled bill.</w:t>
      </w:r>
    </w:p>
    <w:p>
      <w:pPr>
        <w:pStyle w:val="Normal"/>
        <w:rPr/>
      </w:pPr>
      <w:r>
        <w:rPr/>
      </w:r>
    </w:p>
    <w:p>
      <w:pPr>
        <w:pStyle w:val="Normal"/>
        <w:numPr>
          <w:ilvl w:val="0"/>
          <w:numId w:val="5"/>
        </w:numPr>
        <w:rPr/>
      </w:pPr>
      <w:r>
        <w:rPr/>
        <w:t>Following D.99-06-058, the utilities in their tariffs dropped language from the billing portion of the various customer tariffs that restricted the PX Credit to a zero minimum bill.  The current language for direct access customers now reads:  "The bill will be calculated as for a Bundled Service Customer, but the customer will receive a credit for the Power Exchange Component."  The change in the tariff language was effective on June 10, 1999 the date of D.99-06-058.  The tariff language change references D.99-06-058.</w:t>
      </w:r>
    </w:p>
    <w:p>
      <w:pPr>
        <w:pStyle w:val="Normal"/>
        <w:rPr/>
      </w:pPr>
      <w:r>
        <w:rPr/>
      </w:r>
    </w:p>
    <w:p>
      <w:pPr>
        <w:pStyle w:val="Normal"/>
        <w:numPr>
          <w:ilvl w:val="0"/>
          <w:numId w:val="5"/>
        </w:numPr>
        <w:rPr/>
      </w:pPr>
      <w:r>
        <w:rPr/>
        <w:t>The utilities through their actions in calculating bills for direct access customers where the PX Credit exceeds the otherwise applicable bundled bill recognize these liabilities and the requirements under the tariffs.  The requirements imposed on the utilities by the tariffs should have the effect of contractual obligations.</w:t>
      </w:r>
    </w:p>
    <w:p>
      <w:pPr>
        <w:pStyle w:val="Normal"/>
        <w:rPr/>
      </w:pPr>
      <w:r>
        <w:rPr/>
      </w:r>
    </w:p>
    <w:p>
      <w:pPr>
        <w:pStyle w:val="Normal"/>
        <w:numPr>
          <w:ilvl w:val="0"/>
          <w:numId w:val="5"/>
        </w:numPr>
        <w:rPr/>
      </w:pPr>
      <w:r>
        <w:rPr/>
        <w:t>The utilities in their 8-K filings with the SEC recognize liabilities owed where PX Credits exceed the otherwise applicable bundled bill for the period when the rate freeze was in effect.  (The date when the rate freeze ends or has ended is unresolved).</w:t>
        <w:br/>
      </w:r>
    </w:p>
    <w:p>
      <w:pPr>
        <w:pStyle w:val="Normal"/>
        <w:numPr>
          <w:ilvl w:val="0"/>
          <w:numId w:val="5"/>
        </w:numPr>
        <w:rPr/>
      </w:pPr>
      <w:r>
        <w:rPr/>
        <w:t>Where Consolidated Billing applies, the ESP is entitled to receive the Negative CTCs since it is the ESP that has the contractual relationship with the utility, not the direct access customer.  The ESP is liable to pay the charges imposed by the utility regardless of whether the customer pays the ESP and just as the ESP is obligated to pay the utility the UDC charges the ESP should be entitled to receive "negative" UDC charges.  By entering into a consolidated billing relationship, the customer has essentially transferred its contractual rights (as provided in the tariff) to the ESP.  The position being taken by the utilities results in an impairment of that contract.</w:t>
        <w:br/>
      </w:r>
    </w:p>
    <w:p>
      <w:pPr>
        <w:pStyle w:val="Normal"/>
        <w:numPr>
          <w:ilvl w:val="0"/>
          <w:numId w:val="5"/>
        </w:numPr>
        <w:rPr/>
      </w:pPr>
      <w:r>
        <w:rPr/>
        <w:t>The effect of the Negative CTC was to insulate both bundled and unbundled customers from the effect of the spike in the PX Prices.  EES (and EEMC) did "pass through" the Negative CTC to its customers since, by reason of its fixed price contractual arrangements, EES protected its customers from the effect of increasing wholesale prices.  Thus, EES's customers received that benefit just as did the bundled customers.</w:t>
        <w:br/>
      </w:r>
    </w:p>
    <w:p>
      <w:pPr>
        <w:pStyle w:val="Normal"/>
        <w:numPr>
          <w:ilvl w:val="0"/>
          <w:numId w:val="5"/>
        </w:numPr>
        <w:rPr/>
      </w:pPr>
      <w:r>
        <w:rPr/>
        <w:t>The contractual billing obligations between ESPs and the utilities as well as equitable principles support the position that the ESPs in these circumstances are entitled to the Negative CTC.  To require the ESP to pay or credit the Negative CTC to its customers would result in a windfall to, and unjust enrichment, of the customer.  The customer bargained for a fixed price for electric service--which it has and will continue to receive under its EES contract.  To require EES to pay such amount to the customer would not only result in a customer windfall, but would simultaneously result in an unjust taking from EES since EES relied upon a published tariff of the utilities that had been approved by the CPUC.</w:t>
        <w:br/>
      </w:r>
    </w:p>
    <w:p>
      <w:pPr>
        <w:pStyle w:val="Normal"/>
        <w:numPr>
          <w:ilvl w:val="0"/>
          <w:numId w:val="5"/>
        </w:numPr>
        <w:rPr/>
      </w:pPr>
      <w:r>
        <w:rPr/>
        <w:t>ESPs engaged in consolidated billing relied upon the change in the tariff from the zero minimum bill which was the subject of a negotiated settlement. [A detrimental reliance argument]  This was not some change that was not focused on by the utilities and the CPUC.  While parties did not anticipate the magnitude of the Negative CTCs, ESPs justifiably relied upon their existence in essentially using the tariff provisions to act as a hedge on their wholesale power cost exposure.  [As a factual matter, can we show that we changed our hedging practices after the tariff change eliminating the zero minimum bill?].</w:t>
      </w:r>
    </w:p>
    <w:p>
      <w:pPr>
        <w:pStyle w:val="Normal"/>
        <w:rPr/>
      </w:pPr>
      <w:r>
        <w:rPr/>
      </w:r>
    </w:p>
    <w:p>
      <w:pPr>
        <w:pStyle w:val="Normal"/>
        <w:rPr/>
      </w:pPr>
      <w:r>
        <w:rPr/>
      </w:r>
    </w:p>
    <w:p>
      <w:pPr>
        <w:pStyle w:val="Normal"/>
        <w:rPr/>
      </w:pPr>
      <w:r>
        <w:rPr/>
      </w:r>
    </w:p>
    <w:p>
      <w:pPr>
        <w:pStyle w:val="Normal"/>
        <w:jc w:val="center"/>
        <w:rPr>
          <w:b/>
          <w:u w:val="single"/>
        </w:rPr>
      </w:pPr>
      <w:r>
        <w:rPr>
          <w:b/>
          <w:u w:val="single"/>
        </w:rPr>
      </w:r>
    </w:p>
    <w:p>
      <w:pPr>
        <w:pStyle w:val="Normal"/>
        <w:jc w:val="center"/>
        <w:rPr>
          <w:b/>
          <w:u w:val="single"/>
        </w:rPr>
      </w:pPr>
      <w:r>
        <w:rPr>
          <w:b/>
          <w:u w:val="single"/>
        </w:rPr>
        <w:t>Arguments Against ESP Recovery of Negative CTCs</w:t>
      </w:r>
    </w:p>
    <w:p>
      <w:pPr>
        <w:pStyle w:val="Normal"/>
        <w:jc w:val="center"/>
        <w:rPr>
          <w:b/>
          <w:u w:val="single"/>
        </w:rPr>
      </w:pPr>
      <w:r>
        <w:rPr>
          <w:b/>
          <w:u w:val="single"/>
        </w:rPr>
      </w:r>
    </w:p>
    <w:p>
      <w:pPr>
        <w:pStyle w:val="Normal"/>
        <w:numPr>
          <w:ilvl w:val="0"/>
          <w:numId w:val="4"/>
        </w:numPr>
        <w:rPr/>
      </w:pPr>
      <w:r>
        <w:rPr/>
        <w:t>PX Credit was not intended as a hedging instrument for ESPs funded by either utility shareholders or their customers.  Providing an ESP with the Negative CTC essentially transfers the wholesale power market risk with respect to the ESP's direct access customers to the utility even though the utility is not supplying power to those customers.</w:t>
      </w:r>
    </w:p>
    <w:p>
      <w:pPr>
        <w:pStyle w:val="Normal"/>
        <w:rPr/>
      </w:pPr>
      <w:r>
        <w:rPr/>
      </w:r>
    </w:p>
    <w:p>
      <w:pPr>
        <w:pStyle w:val="Normal"/>
        <w:numPr>
          <w:ilvl w:val="0"/>
          <w:numId w:val="4"/>
        </w:numPr>
        <w:rPr/>
      </w:pPr>
      <w:r>
        <w:rPr/>
        <w:t>The CPUC has no knowledge of the financial arrangements between ESPs and their customers that would be needed to make the appropriate economic determinations regarding entitlement to the Negative CTC and assign financial responsibility to the appropriate entity.  EES did not "pass through" the Negative CTCs to its customers by reason of insulating them from the spike in the PX Credit; rather, the customers bargained for that as part of their contracts that were put in place well in advance of the tariff change permitting Negative CTCs.  For example, if a direct access customer is not subject to a fixed price contract with an ESP, it probably would be fair to require the ESP to pass on the Negative CTC to the customer (in order to reimburse the customer for the unanticipated rise in the PX Price) in order to put direct access customers in the same position as bundled customers.</w:t>
        <w:br/>
      </w:r>
    </w:p>
    <w:p>
      <w:pPr>
        <w:pStyle w:val="Normal"/>
        <w:numPr>
          <w:ilvl w:val="0"/>
          <w:numId w:val="4"/>
        </w:numPr>
        <w:rPr/>
      </w:pPr>
      <w:r>
        <w:rPr/>
        <w:t>Negative CTC was only intended to cover intermittent times when the PX Credit exceeded the otherwise applicable bundled bill and was never intended to be operative during sustained periods when the PX Credit was greater than the otherwise applicable bill.</w:t>
        <w:br/>
      </w:r>
    </w:p>
    <w:p>
      <w:pPr>
        <w:pStyle w:val="Normal"/>
        <w:numPr>
          <w:ilvl w:val="0"/>
          <w:numId w:val="4"/>
        </w:numPr>
        <w:rPr/>
      </w:pPr>
      <w:r>
        <w:rPr/>
        <w:t>The ESP's customers are entitled to the Negative CTCs since despite the fact that they might have a "windfall" on a current basis (as a result of receiving an effective price well below the fixed contract rate they bargained for), if those customers return to default service after their contracts roll off they might be in the position of effectively "paying back" the amount of the Negative CTCs paid to an ESP by the utility.</w:t>
        <w:br/>
      </w:r>
    </w:p>
    <w:p>
      <w:pPr>
        <w:pStyle w:val="Normal"/>
        <w:numPr>
          <w:ilvl w:val="0"/>
          <w:numId w:val="4"/>
        </w:numPr>
        <w:rPr/>
      </w:pPr>
      <w:r>
        <w:rPr/>
        <w:t>Note that if the rate freeze ended sometime during the summer of 2000, no Negative CTCs would be applicable.</w:t>
      </w:r>
    </w:p>
    <w:p>
      <w:pPr>
        <w:pStyle w:val="Normal"/>
        <w:rPr/>
      </w:pPr>
      <w:r>
        <w:rPr/>
      </w:r>
    </w:p>
    <w:p>
      <w:pPr>
        <w:pStyle w:val="Normal"/>
        <w:rPr/>
      </w:pPr>
      <w:r>
        <w:rPr/>
      </w:r>
    </w:p>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371359.1 02618 00125 3/8/2001  9:52 AM</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371359.1 02618 00125 3/8/2001  9:52 AM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4"/>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432"/>
        </w:tabs>
        <w:ind w:start="432" w:hanging="432"/>
      </w:pPr>
      <w:rPr>
        <w:u w:val="none"/>
        <w:color w:val="auto"/>
      </w:rPr>
    </w:lvl>
    <w:lvl w:ilvl="1">
      <w:start w:val="1"/>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0"/>
        <w:numId w:val="3"/>
      </w:numPr>
      <w:tabs>
        <w:tab w:val="clear" w:pos="720"/>
      </w:tabs>
      <w:ind w:hanging="360" w:start="720" w:end="0"/>
      <w:outlineLvl w:val="1"/>
    </w:pPr>
    <w:rPr/>
  </w:style>
  <w:style w:type="paragraph" w:styleId="Heading3">
    <w:name w:val="heading 3"/>
    <w:basedOn w:val="Normal"/>
    <w:next w:val="Normal"/>
    <w:qFormat/>
    <w:pPr>
      <w:numPr>
        <w:ilvl w:val="0"/>
        <w:numId w:val="6"/>
      </w:numPr>
      <w:tabs>
        <w:tab w:val="clear" w:pos="720"/>
      </w:tabs>
      <w:ind w:hanging="360" w:start="1080" w:end="0"/>
      <w:outlineLvl w:val="2"/>
    </w:pPr>
    <w:rPr/>
  </w:style>
  <w:style w:type="paragraph" w:styleId="Heading4">
    <w:name w:val="heading 4"/>
    <w:basedOn w:val="Normal"/>
    <w:next w:val="Normal"/>
    <w:qFormat/>
    <w:pPr>
      <w:tabs>
        <w:tab w:val="clear" w:pos="720"/>
      </w:tabs>
      <w:ind w:hanging="360" w:start="1440" w:end="0"/>
      <w:outlineLvl w:val="3"/>
    </w:pPr>
    <w:rPr/>
  </w:style>
  <w:style w:type="paragraph" w:styleId="Heading5">
    <w:name w:val="heading 5"/>
    <w:basedOn w:val="Normal"/>
    <w:next w:val="Normal"/>
    <w:qFormat/>
    <w:pPr>
      <w:numPr>
        <w:ilvl w:val="4"/>
        <w:numId w:val="1"/>
      </w:numPr>
      <w:tabs>
        <w:tab w:val="clear" w:pos="720"/>
      </w:tabs>
      <w:ind w:hanging="360" w:start="1800" w:end="0"/>
      <w:outlineLvl w:val="4"/>
    </w:pPr>
    <w:rPr/>
  </w:style>
  <w:style w:type="paragraph" w:styleId="Heading6">
    <w:name w:val="heading 6"/>
    <w:basedOn w:val="Normal"/>
    <w:next w:val="Normal"/>
    <w:qFormat/>
    <w:pPr>
      <w:numPr>
        <w:ilvl w:val="0"/>
        <w:numId w:val="2"/>
      </w:numPr>
      <w:tabs>
        <w:tab w:val="clear" w:pos="720"/>
      </w:tabs>
      <w:ind w:hanging="360" w:start="2160" w:end="0"/>
      <w:outlineLvl w:val="5"/>
    </w:pPr>
    <w:rPr/>
  </w:style>
  <w:style w:type="paragraph" w:styleId="Heading7">
    <w:name w:val="heading 7"/>
    <w:basedOn w:val="Normal"/>
    <w:next w:val="Normal"/>
    <w:qFormat/>
    <w:pPr>
      <w:numPr>
        <w:ilvl w:val="0"/>
        <w:numId w:val="4"/>
      </w:numPr>
      <w:tabs>
        <w:tab w:val="clear" w:pos="720"/>
      </w:tabs>
      <w:ind w:hanging="360" w:start="2520" w:end="0"/>
      <w:outlineLvl w:val="6"/>
    </w:pPr>
    <w:rPr/>
  </w:style>
  <w:style w:type="paragraph" w:styleId="Heading8">
    <w:name w:val="heading 8"/>
    <w:basedOn w:val="Normal"/>
    <w:next w:val="Normal"/>
    <w:qFormat/>
    <w:pPr>
      <w:numPr>
        <w:ilvl w:val="0"/>
        <w:numId w:val="5"/>
      </w:numPr>
      <w:tabs>
        <w:tab w:val="clear" w:pos="720"/>
      </w:tabs>
      <w:ind w:hanging="360" w:start="2880" w:end="0"/>
      <w:outlineLvl w:val="7"/>
    </w:pPr>
    <w:rPr/>
  </w:style>
  <w:style w:type="paragraph" w:styleId="Heading9">
    <w:name w:val="heading 9"/>
    <w:basedOn w:val="Normal"/>
    <w:next w:val="Normal"/>
    <w:qFormat/>
    <w:pPr>
      <w:tabs>
        <w:tab w:val="clear" w:pos="720"/>
      </w:tabs>
      <w:ind w:hanging="360" w:start="324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color w:val="auto"/>
      <w:u w:val="none"/>
    </w:rPr>
  </w:style>
  <w:style w:type="character" w:styleId="WW8Num6z0">
    <w:name w:val="WW8Num6z0"/>
    <w:qFormat/>
    <w:rPr>
      <w:color w:val="auto"/>
      <w:u w:val="none"/>
    </w:rPr>
  </w:style>
  <w:style w:type="character" w:styleId="WW8Num7z0">
    <w:name w:val="WW8Num7z0"/>
    <w:qFormat/>
    <w:rPr>
      <w:color w:val="000000"/>
    </w:rPr>
  </w:style>
  <w:style w:type="character" w:styleId="WW8Num8z0">
    <w:name w:val="WW8Num8z0"/>
    <w:qFormat/>
    <w:rPr/>
  </w:style>
  <w:style w:type="character" w:styleId="WW8Num9z0">
    <w:name w:val="WW8Num9z0"/>
    <w:qFormat/>
    <w:rPr/>
  </w:style>
  <w:style w:type="character" w:styleId="WW8Num10z0">
    <w:name w:val="WW8Num10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2001-03-08T15:43:00Z</dcterms:created>
  <dc:creator>LeBoeuf, Lamb, Greene &amp; MacRae, L.L.P.</dc:creator>
  <dc:description/>
  <cp:keywords>NYC 371359.1 02618 00125 3/8/2001  9:52 AM</cp:keywords>
  <dc:language>en-CA</dc:language>
  <cp:lastModifiedBy>rwillia2</cp:lastModifiedBy>
  <cp:lastPrinted>2001-03-15T10:20:00Z</cp:lastPrinted>
  <dcterms:modified xsi:type="dcterms:W3CDTF">2001-03-15T15:17:00Z</dcterms:modified>
  <cp:revision>6</cp:revision>
  <dc:subject/>
  <dc:title>LEBOEUF, LAMB, GREENE &amp; MACRAE</dc:title>
</cp:coreProperties>
</file>