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ab/>
        <w:tab/>
        <w:tab/>
        <w:tab/>
        <w:tab/>
        <w:tab/>
        <w:t>September 26, 2001</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t>Mr. Thomas Gros</w:t>
      </w:r>
    </w:p>
    <w:p>
      <w:pPr>
        <w:pStyle w:val="Normal"/>
        <w:suppressAutoHyphens w:val="true"/>
        <w:rPr>
          <w:rFonts w:ascii="Times New Roman" w:hAnsi="Times New Roman" w:cs="Times New Roman"/>
          <w:sz w:val="24"/>
        </w:rPr>
      </w:pPr>
      <w:r>
        <w:rPr>
          <w:rFonts w:cs="Times New Roman" w:ascii="Times New Roman" w:hAnsi="Times New Roman"/>
          <w:sz w:val="24"/>
        </w:rPr>
        <w:t>Vice President</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Commodity Logic LLC</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1400 Smith Street</w:t>
      </w:r>
    </w:p>
    <w:p>
      <w:pPr>
        <w:pStyle w:val="Normal"/>
        <w:suppressAutoHyphens w:val="true"/>
        <w:rPr>
          <w:rFonts w:ascii="Times New Roman" w:hAnsi="Times New Roman" w:cs="Times New Roman"/>
          <w:sz w:val="24"/>
        </w:rPr>
      </w:pPr>
      <w:r>
        <w:rPr>
          <w:rFonts w:cs="Times New Roman" w:ascii="Times New Roman" w:hAnsi="Times New Roman"/>
          <w:sz w:val="24"/>
        </w:rPr>
        <w:t>Houston, TX 77002</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Heading1"/>
        <w:ind w:hanging="0" w:start="0"/>
        <w:rPr/>
      </w:pPr>
      <w:r>
        <w:rPr/>
        <w:t>VIA FACSIMILE (713) 345-7771</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jc w:val="center"/>
        <w:outlineLvl w:val="0"/>
        <w:rPr>
          <w:rFonts w:ascii="Times New Roman" w:hAnsi="Times New Roman" w:cs="Times New Roman"/>
          <w:sz w:val="24"/>
        </w:rPr>
      </w:pPr>
      <w:r>
        <w:rPr>
          <w:rFonts w:cs="Times New Roman" w:ascii="Times New Roman" w:hAnsi="Times New Roman"/>
          <w:b/>
          <w:sz w:val="24"/>
          <w:u w:val="single"/>
        </w:rPr>
        <w:t>CONFIDENTIALITY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Mr. Gros: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
        <w:rPr/>
      </w:pPr>
      <w:r>
        <w:rPr>
          <w:spacing w:val="-3"/>
          <w:sz w:val="24"/>
        </w:rPr>
        <w:t xml:space="preserve">  </w:t>
      </w:r>
      <w:r>
        <w:rPr>
          <w:spacing w:val="-3"/>
          <w:sz w:val="24"/>
        </w:rPr>
        <w:t xml:space="preserve">Commodity Logic LLC (“Commodity Logic”) and the Virtual Markets Assurance Corporation (“VMAC”), (collectively the “Parties”), </w:t>
      </w:r>
      <w:r>
        <w:rPr>
          <w:sz w:val="24"/>
        </w:rPr>
        <w:t xml:space="preserve">would like to engage in discussions and exchange information concerning mutually-beneficial business relationships. Much of the information to be exchanged is confidential, and each Party wishes to protect its confidential information from disclosure by the other Party. </w:t>
      </w:r>
      <w:r>
        <w:rPr>
          <w:spacing w:val="-3"/>
          <w:sz w:val="24"/>
        </w:rPr>
        <w:t>The purpose of this letter is to confirm our understanding as to the treatment of certain information that may be delivered between the Parties from time to time with respect to the possible participation by the Parties in a potential business relationship relating to the energy markets, such participation to include acquisition of interests and/ or contractual arrangements (the “Transaction(s)”).</w:t>
      </w:r>
    </w:p>
    <w:p>
      <w:pPr>
        <w:pStyle w:val="BodyText2"/>
        <w:rPr/>
      </w:pPr>
      <w:r>
        <w:rPr/>
        <w:tab/>
        <w:t>As a condition to furnishing such information, the parties agree, as set forth below, to treat confidentially such information (collectively the "Confidential Information") which the Parties or their respective representatives or agents furnish between their representatives (including attorneys, accountants and financial advisors), associates, affiliates, or any of their respective directors, officers or employees (collectively the "Representatives").   All analyses, compilations, studies, notes or other documents prepared by the Parties or any of their representatives containing or based in whole or in part on any information furnished in contemplation of the Transaction (the foregoing being referred to as the “Evaluation Material”) is also covered herein and is not part of the Confidential Information.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neither the Confidential Information nor the Evaluation Material will  be used in any way detrimental to the other Party, will be kept confidential by the Parties and their Representatives, shall not, except as hereinafter provided, without prior written consent, be disclosed, in any manner whatsoever, in whole or in part (except as provided elsewhere in this agreement), and shall not be used other than for the purpose of evaluating the Transactions.  Moreover, the Parties further agree to disclose Confidential Information and Evaluation Material only to those Representatives who need to know such information for the purpose of evaluating the Transactions and who shall (i) be advised of this Agreement, and (ii) agree with to be bound by the provisions hereof.  The Parties shall be responsible for any breach of this Agreement by their Representatives.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Without the other Party’s prior written consent, the Parties will not disclose, and will explicitly direct their Representatives who are given access to the Confidential Information or the Evaluation Material to not disclose to any person (other than a person authorized hereunder), the fact that the Confidential Information or the Evaluation Material has been made available, that discussions or negotiations between the Parties are taking place, or any of the terms, conditions or other facts with respect to the possible Transactions, including the status thereof.  The term "person" as used in this Agreement shall be broadly interpreted to include, without limitation, any corporation, company, partnership or individual, including your employer.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In the event that a Party or it’s Representatives are requested or become legally compelled (by oral questions, interrogatories, requests for information or documents, subpoena, civil investigative demand, court or government order or similar process) to disclose any of the Confidential Information or Evaluation Material or the fact that the Confidential Information or Evaluation Material has been made available, that discussions or negotiations between the Parties are taking place, or any of the terms, conditions or other facts with respect to the possible Transactions, it is agreed that the Parties, or their Representatives, as the case may be, will provide each other with prompt written notice of such request(s) so that  the Party who disclosed the Confidential Information or Evaluation Material may seek a protective order or other appropriate remedy.  In the event that such protective order or other remedy is not obtained, the Party requested to make such disclosure agrees that it will furnish only that portion of the Confidential Information and the Evaluation Material and other information which is legally required and will exercise reasonable efforts to obtain reliable assurance that confidential treatment will be accorded to that portion of the Confidential Information and the Evaluation Material and other information which is being disclosed.</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Within ten (10) days of a Party’s delivery to the other of notice of termination of the discussions relating to a proposed Transaction, the required Party will deliver to the requesting Party the Confidential Information relating to the Transactions and all copies thereof  Or shall undertake the destruction of the Confidential Information and all copies thereof; provided, however, the required Party shall not be required to destroy or erase Confidential Information and Evaluation Material that is contained in an archived computer system backup made in accordance with a Party’s security and/or disaster recovery procedures. The required Party shall promptly confirm the destruction of the Confidential Information. All Evaluation Material of the required Party shall be retained by the required Party, but shall remain subject to the confidentiality provisions of this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terms “Confidential Information” and "Evaluation Material" do not include information which (i) is or becomes generally available to the public other than as a result of a disclosure by the Parties or their Representatives, (ii) was available to the Parties on a non-confidential basis prior to its disclosure, (iii) becomes available to the Parties on a non-confidential basis from a source other than one another or the Parties Representatives and was not otherwise obtained in violation of the terms of this letter or any law; provided, however, that such source is not known to the Parties to be bound by a confidentiality agreement, or (iv) is independently developed by the parties without reliance upon the Confidential Information or Evaluation Material.</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money damages may not be sufficient remedy for any breach of this Agreement by the Parties or their Representatives, and that in addition to all other remedies the Parties shall be entitled to specific performance and injunctive or other equitable relief as a remedy for any such breach, and further agree to waive and to use reasonable efforts to cause their Representatives to waive any requirement for the securing or posting of any bond in connection with such remedy.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It is further understood and agreed that no failure or delay by the Parties in exercising any right, power or privilege hereunder shall operate as a waiver thereof, nor shall any single or partial exercise thereof preclude any other or further exercise thereof or the exercise of any right, power or privilege hereunder.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Any provision of this Agreement which is prohibited or unenforceable in any jurisdiction shall, in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Furthermore, in lieu of each unenforceable provision there shall be added automatically as a part of this Agreement a provision as similar in terms to such unenforceable provision as may be possible and be legal, valid and enforceable.</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also confirm our understanding that any agreement between or among us as to a Transaction will exist only when such agreement is in writing and duly executed by the parties thereto.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may be executed in several counterparts, all of which together shall constitute one and the same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shall be governed by the laws of the State of New York and, as applicable, the laws of the United States of America.</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all right, title and interest in and to the Confidential Information and Evalutaion Material disclosed hereunder shall be retained by the disclosing Party and that no present or future intellectual property rights or licenses are offered, granted or implied by the disclosure of any Confidential Information or Evaluation Material hereunder.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 xml:space="preserve">The provisions of this Agreement shall terminate on the date two years from the date of this Agreement.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Very truly yours,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numPr>
          <w:ilvl w:val="0"/>
          <w:numId w:val="0"/>
        </w:numPr>
        <w:suppressAutoHyphens w:val="true"/>
        <w:ind w:end="-18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 xml:space="preserve">Virtual Markets Assurance Corporation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___________________________</w:t>
      </w:r>
    </w:p>
    <w:p>
      <w:pPr>
        <w:pStyle w:val="Normal"/>
        <w:numPr>
          <w:ilvl w:val="0"/>
          <w:numId w:val="0"/>
        </w:numPr>
        <w:suppressAutoHyphens w:val="true"/>
        <w:ind w:hanging="720" w:start="720" w:end="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By: J. Scott Perry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 xml:space="preserve">     </w:t>
        <w:tab/>
        <w:t xml:space="preserve">      President &amp; COO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0"/>
        </w:numPr>
        <w:suppressAutoHyphens w:val="true"/>
        <w:jc w:val="both"/>
        <w:outlineLvl w:val="0"/>
        <w:rPr>
          <w:rFonts w:ascii="Times New Roman" w:hAnsi="Times New Roman" w:cs="Times New Roman"/>
          <w:spacing w:val="-3"/>
          <w:sz w:val="24"/>
        </w:rPr>
      </w:pPr>
      <w:r>
        <w:rPr>
          <w:rFonts w:cs="Times New Roman" w:ascii="Times New Roman" w:hAnsi="Times New Roman"/>
          <w:spacing w:val="-3"/>
          <w:sz w:val="24"/>
        </w:rPr>
        <w:t>Confirmed and Agreed to</w:t>
      </w:r>
    </w:p>
    <w:p>
      <w:pPr>
        <w:pStyle w:val="Normal"/>
        <w:suppressAutoHyphens w:val="true"/>
        <w:jc w:val="both"/>
        <w:rPr/>
      </w:pPr>
      <w:r>
        <w:rPr>
          <w:rFonts w:cs="Times New Roman" w:ascii="Times New Roman" w:hAnsi="Times New Roman"/>
          <w:spacing w:val="-3"/>
          <w:sz w:val="24"/>
        </w:rPr>
        <w:t>as of the ___</w:t>
      </w:r>
      <w:r>
        <w:rPr>
          <w:rFonts w:cs="Times New Roman" w:ascii="Times New Roman" w:hAnsi="Times New Roman"/>
          <w:spacing w:val="-3"/>
          <w:sz w:val="24"/>
          <w:vertAlign w:val="superscript"/>
        </w:rPr>
        <w:t>th</w:t>
      </w:r>
      <w:r>
        <w:rPr>
          <w:rFonts w:cs="Times New Roman" w:ascii="Times New Roman" w:hAnsi="Times New Roman"/>
          <w:spacing w:val="-3"/>
          <w:sz w:val="24"/>
        </w:rPr>
        <w:t xml:space="preserve"> day of September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 2001:</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eastAsia="Times New Roman" w:cs="Times New Roman" w:ascii="Times New Roman" w:hAnsi="Times New Roman"/>
          <w:spacing w:val="-3"/>
          <w:sz w:val="24"/>
        </w:rPr>
        <w:t xml:space="preserve"> </w:t>
      </w:r>
      <w:r>
        <w:rPr>
          <w:rFonts w:cs="Times New Roman" w:ascii="Times New Roman" w:hAnsi="Times New Roman"/>
          <w:spacing w:val="-3"/>
          <w:sz w:val="24"/>
        </w:rPr>
        <w:t>Commodity Logic LLC</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By:  Tom Gros</w:t>
      </w:r>
    </w:p>
    <w:p>
      <w:pPr>
        <w:pStyle w:val="Date"/>
        <w:rPr>
          <w:rFonts w:ascii="Times New Roman" w:hAnsi="Times New Roman" w:cs="Times New Roman"/>
          <w:spacing w:val="-3"/>
          <w:sz w:val="24"/>
        </w:rPr>
      </w:pPr>
      <w:r>
        <w:rPr>
          <w:rFonts w:cs="Times New Roman" w:ascii="Times New Roman" w:hAnsi="Times New Roman"/>
          <w:spacing w:val="-3"/>
          <w:sz w:val="24"/>
        </w:rPr>
      </w:r>
    </w:p>
    <w:p>
      <w:pPr>
        <w:pStyle w:val="Date"/>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SimSun;宋体" w:cs="Helvetica"/>
      <w:color w:val="auto"/>
      <w:sz w:val="22"/>
      <w:szCs w:val="20"/>
      <w:lang w:val="en-US" w:eastAsia="zh-CN" w:bidi="ar-SA"/>
    </w:rPr>
  </w:style>
  <w:style w:type="paragraph" w:styleId="Heading1">
    <w:name w:val="heading 1"/>
    <w:basedOn w:val="Normal"/>
    <w:next w:val="Normal"/>
    <w:qFormat/>
    <w:pPr>
      <w:keepNext w:val="true"/>
      <w:numPr>
        <w:ilvl w:val="0"/>
        <w:numId w:val="1"/>
      </w:numPr>
      <w:suppressAutoHyphens w:val="true"/>
      <w:outlineLvl w:val="0"/>
    </w:pPr>
    <w:rPr>
      <w:rFonts w:ascii="Times New Roman" w:hAnsi="Times New Roman" w:cs="Times New Roman"/>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ascii="Times New Roman" w:hAnsi="Times New Roman" w:eastAsia="Times New Roman" w:cs="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uppressAutoHyphens w:val="true"/>
      <w:jc w:val="both"/>
    </w:pPr>
    <w:rPr>
      <w:rFonts w:ascii="Times New Roman" w:hAnsi="Times New Roman" w:cs="Times New Roman"/>
      <w:spacing w:val="-3"/>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2001-09-26T12:16:00Z</dcterms:created>
  <dc:creator>C. Rivera</dc:creator>
  <dc:description/>
  <dc:language>en-CA</dc:language>
  <cp:lastModifiedBy>mgreenbe</cp:lastModifiedBy>
  <cp:lastPrinted>2001-09-07T16:26:00Z</cp:lastPrinted>
  <dcterms:modified xsi:type="dcterms:W3CDTF">2001-09-26T12:16:00Z</dcterms:modified>
  <cp:revision>2</cp:revision>
  <dc:subject/>
  <dc:title>VIRTUAL MARKETS ASSURANCE COMPANY</dc:title>
</cp:coreProperties>
</file>