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Times New Roman" w:hAnsi="Times New Roman" w:cs="Times New Roman"/>
          <w:smallCaps/>
          <w:sz w:val="24"/>
        </w:rPr>
      </w:pPr>
      <w:r>
        <w:rPr>
          <w:rFonts w:cs="Times New Roman" w:ascii="Times New Roman" w:hAnsi="Times New Roman"/>
          <w:smallCaps/>
          <w:sz w:val="24"/>
        </w:rPr>
      </w:r>
    </w:p>
    <w:p>
      <w:pPr>
        <w:pStyle w:val="Normal"/>
        <w:suppressAutoHyphens w:val="true"/>
        <w:rPr>
          <w:rFonts w:ascii="Times New Roman" w:hAnsi="Times New Roman" w:cs="Times New Roman"/>
          <w:smallCaps/>
          <w:sz w:val="24"/>
        </w:rPr>
      </w:pPr>
      <w:r>
        <w:rPr>
          <w:rFonts w:cs="Times New Roman" w:ascii="Times New Roman" w:hAnsi="Times New Roman"/>
          <w:smallCaps/>
          <w:sz w:val="24"/>
        </w:rPr>
      </w:r>
    </w:p>
    <w:p>
      <w:pPr>
        <w:pStyle w:val="Normal"/>
        <w:suppressAutoHyphens w:val="true"/>
        <w:rPr>
          <w:rFonts w:ascii="Times New Roman" w:hAnsi="Times New Roman" w:cs="Times New Roman"/>
          <w:sz w:val="24"/>
        </w:rPr>
      </w:pPr>
      <w:r>
        <w:rPr>
          <w:rFonts w:cs="Times New Roman" w:ascii="Times New Roman" w:hAnsi="Times New Roman"/>
          <w:sz w:val="24"/>
        </w:rPr>
      </w:r>
    </w:p>
    <w:p>
      <w:pPr>
        <w:pStyle w:val="Normal"/>
        <w:suppressAutoHyphens w:val="true"/>
        <w:rPr>
          <w:rFonts w:ascii="Times New Roman" w:hAnsi="Times New Roman" w:cs="Times New Roman"/>
          <w:sz w:val="24"/>
        </w:rPr>
      </w:pPr>
      <w:r>
        <w:rPr>
          <w:rFonts w:cs="Times New Roman" w:ascii="Times New Roman" w:hAnsi="Times New Roman"/>
          <w:sz w:val="24"/>
        </w:rPr>
      </w:r>
    </w:p>
    <w:p>
      <w:pPr>
        <w:pStyle w:val="Normal"/>
        <w:suppressAutoHyphens w:val="true"/>
        <w:rPr>
          <w:rFonts w:ascii="Times New Roman" w:hAnsi="Times New Roman" w:cs="Times New Roman"/>
          <w:sz w:val="24"/>
        </w:rPr>
      </w:pPr>
      <w:r>
        <w:rPr>
          <w:rFonts w:cs="Times New Roman" w:ascii="Times New Roman" w:hAnsi="Times New Roman"/>
          <w:sz w:val="24"/>
        </w:rPr>
      </w:r>
    </w:p>
    <w:p>
      <w:pPr>
        <w:pStyle w:val="Normal"/>
        <w:suppressAutoHyphens w:val="true"/>
        <w:rPr>
          <w:rFonts w:ascii="Times New Roman" w:hAnsi="Times New Roman" w:cs="Times New Roman"/>
          <w:sz w:val="24"/>
        </w:rPr>
      </w:pPr>
      <w:r>
        <w:rPr>
          <w:rFonts w:cs="Times New Roman" w:ascii="Times New Roman" w:hAnsi="Times New Roman"/>
          <w:sz w:val="24"/>
        </w:rPr>
      </w:r>
    </w:p>
    <w:p>
      <w:pPr>
        <w:pStyle w:val="Normal"/>
        <w:suppressAutoHyphens w:val="true"/>
        <w:rPr>
          <w:rFonts w:ascii="Times New Roman" w:hAnsi="Times New Roman" w:cs="Times New Roman"/>
          <w:sz w:val="24"/>
        </w:rPr>
      </w:pPr>
      <w:r>
        <w:rPr>
          <w:rFonts w:cs="Times New Roman" w:ascii="Times New Roman" w:hAnsi="Times New Roman"/>
          <w:sz w:val="24"/>
        </w:rPr>
      </w:r>
    </w:p>
    <w:p>
      <w:pPr>
        <w:pStyle w:val="Normal"/>
        <w:numPr>
          <w:ilvl w:val="0"/>
          <w:numId w:val="0"/>
        </w:numPr>
        <w:suppressAutoHyphens w:val="true"/>
        <w:outlineLvl w:val="0"/>
        <w:rPr>
          <w:rFonts w:ascii="Times New Roman" w:hAnsi="Times New Roman" w:cs="Times New Roman"/>
          <w:sz w:val="24"/>
        </w:rPr>
      </w:pPr>
      <w:r>
        <w:rPr>
          <w:rFonts w:cs="Times New Roman" w:ascii="Times New Roman" w:hAnsi="Times New Roman"/>
          <w:sz w:val="24"/>
        </w:rPr>
        <w:tab/>
        <w:tab/>
        <w:tab/>
        <w:tab/>
        <w:tab/>
        <w:tab/>
        <w:t>September 26, 2001</w:t>
      </w:r>
    </w:p>
    <w:p>
      <w:pPr>
        <w:pStyle w:val="Normal"/>
        <w:suppressAutoHyphens w:val="true"/>
        <w:rPr>
          <w:rFonts w:ascii="Times New Roman" w:hAnsi="Times New Roman" w:cs="Times New Roman"/>
          <w:sz w:val="24"/>
        </w:rPr>
      </w:pPr>
      <w:r>
        <w:rPr>
          <w:rFonts w:cs="Times New Roman" w:ascii="Times New Roman" w:hAnsi="Times New Roman"/>
          <w:sz w:val="24"/>
        </w:rPr>
      </w:r>
    </w:p>
    <w:p>
      <w:pPr>
        <w:pStyle w:val="Normal"/>
        <w:suppressAutoHyphens w:val="true"/>
        <w:rPr>
          <w:rFonts w:ascii="Times New Roman" w:hAnsi="Times New Roman" w:cs="Times New Roman"/>
          <w:sz w:val="24"/>
        </w:rPr>
      </w:pPr>
      <w:r>
        <w:rPr>
          <w:rFonts w:cs="Times New Roman" w:ascii="Times New Roman" w:hAnsi="Times New Roman"/>
          <w:sz w:val="24"/>
        </w:rPr>
      </w:r>
    </w:p>
    <w:p>
      <w:pPr>
        <w:pStyle w:val="Normal"/>
        <w:suppressAutoHyphens w:val="true"/>
        <w:rPr>
          <w:rFonts w:ascii="Times New Roman" w:hAnsi="Times New Roman" w:cs="Times New Roman"/>
          <w:sz w:val="24"/>
        </w:rPr>
      </w:pPr>
      <w:r>
        <w:rPr>
          <w:rFonts w:cs="Times New Roman" w:ascii="Times New Roman" w:hAnsi="Times New Roman"/>
          <w:sz w:val="24"/>
        </w:rPr>
        <w:t>Mr. Thomas Gros</w:t>
      </w:r>
    </w:p>
    <w:p>
      <w:pPr>
        <w:pStyle w:val="Normal"/>
        <w:suppressAutoHyphens w:val="true"/>
        <w:rPr>
          <w:rFonts w:ascii="Times New Roman" w:hAnsi="Times New Roman" w:cs="Times New Roman"/>
          <w:sz w:val="24"/>
        </w:rPr>
      </w:pPr>
      <w:r>
        <w:rPr>
          <w:rFonts w:cs="Times New Roman" w:ascii="Times New Roman" w:hAnsi="Times New Roman"/>
          <w:sz w:val="24"/>
        </w:rPr>
        <w:t>Vice President</w:t>
      </w:r>
    </w:p>
    <w:p>
      <w:pPr>
        <w:pStyle w:val="Normal"/>
        <w:numPr>
          <w:ilvl w:val="0"/>
          <w:numId w:val="0"/>
        </w:numPr>
        <w:suppressAutoHyphens w:val="true"/>
        <w:outlineLvl w:val="0"/>
        <w:rPr>
          <w:rFonts w:ascii="Times New Roman" w:hAnsi="Times New Roman" w:cs="Times New Roman"/>
          <w:sz w:val="24"/>
        </w:rPr>
      </w:pPr>
      <w:r>
        <w:rPr>
          <w:rFonts w:cs="Times New Roman" w:ascii="Times New Roman" w:hAnsi="Times New Roman"/>
          <w:sz w:val="24"/>
        </w:rPr>
        <w:t>Commodity Logic LLC</w:t>
      </w:r>
    </w:p>
    <w:p>
      <w:pPr>
        <w:pStyle w:val="Normal"/>
        <w:numPr>
          <w:ilvl w:val="0"/>
          <w:numId w:val="0"/>
        </w:numPr>
        <w:suppressAutoHyphens w:val="true"/>
        <w:outlineLvl w:val="0"/>
        <w:rPr>
          <w:rFonts w:ascii="Times New Roman" w:hAnsi="Times New Roman" w:cs="Times New Roman"/>
          <w:sz w:val="24"/>
        </w:rPr>
      </w:pPr>
      <w:r>
        <w:rPr>
          <w:rFonts w:cs="Times New Roman" w:ascii="Times New Roman" w:hAnsi="Times New Roman"/>
          <w:sz w:val="24"/>
        </w:rPr>
        <w:t>1400 Smith Street</w:t>
      </w:r>
    </w:p>
    <w:p>
      <w:pPr>
        <w:pStyle w:val="Normal"/>
        <w:suppressAutoHyphens w:val="true"/>
        <w:rPr>
          <w:rFonts w:ascii="Times New Roman" w:hAnsi="Times New Roman" w:cs="Times New Roman"/>
          <w:sz w:val="24"/>
        </w:rPr>
      </w:pPr>
      <w:r>
        <w:rPr>
          <w:rFonts w:cs="Times New Roman" w:ascii="Times New Roman" w:hAnsi="Times New Roman"/>
          <w:sz w:val="24"/>
        </w:rPr>
        <w:t>Houston, TX 77002</w:t>
      </w:r>
    </w:p>
    <w:p>
      <w:pPr>
        <w:pStyle w:val="Normal"/>
        <w:suppressAutoHyphens w:val="true"/>
        <w:rPr>
          <w:rFonts w:ascii="Times New Roman" w:hAnsi="Times New Roman" w:cs="Times New Roman"/>
          <w:sz w:val="24"/>
        </w:rPr>
      </w:pPr>
      <w:r>
        <w:rPr>
          <w:rFonts w:cs="Times New Roman" w:ascii="Times New Roman" w:hAnsi="Times New Roman"/>
          <w:sz w:val="24"/>
        </w:rPr>
      </w:r>
    </w:p>
    <w:p>
      <w:pPr>
        <w:pStyle w:val="Heading1"/>
        <w:ind w:hanging="0" w:start="0"/>
        <w:rPr/>
      </w:pPr>
      <w:r>
        <w:rPr/>
        <w:t>VIA FACSIMILE (713) 345-7771</w:t>
      </w:r>
    </w:p>
    <w:p>
      <w:pPr>
        <w:pStyle w:val="Normal"/>
        <w:suppressAutoHyphens w:val="true"/>
        <w:rPr>
          <w:rFonts w:ascii="Times New Roman" w:hAnsi="Times New Roman" w:cs="Times New Roman"/>
          <w:sz w:val="24"/>
        </w:rPr>
      </w:pPr>
      <w:r>
        <w:rPr>
          <w:rFonts w:cs="Times New Roman" w:ascii="Times New Roman" w:hAnsi="Times New Roman"/>
          <w:sz w:val="24"/>
        </w:rPr>
      </w:r>
    </w:p>
    <w:p>
      <w:pPr>
        <w:pStyle w:val="Normal"/>
        <w:suppressAutoHyphens w:val="true"/>
        <w:rPr>
          <w:rFonts w:ascii="Times New Roman" w:hAnsi="Times New Roman" w:cs="Times New Roman"/>
          <w:sz w:val="24"/>
        </w:rPr>
      </w:pPr>
      <w:r>
        <w:rPr>
          <w:rFonts w:cs="Times New Roman" w:ascii="Times New Roman" w:hAnsi="Times New Roman"/>
          <w:sz w:val="24"/>
        </w:rPr>
      </w:r>
    </w:p>
    <w:p>
      <w:pPr>
        <w:pStyle w:val="Normal"/>
        <w:suppressAutoHyphens w:val="true"/>
        <w:rPr>
          <w:rFonts w:ascii="Times New Roman" w:hAnsi="Times New Roman" w:cs="Times New Roman"/>
          <w:sz w:val="24"/>
        </w:rPr>
      </w:pPr>
      <w:r>
        <w:rPr>
          <w:rFonts w:cs="Times New Roman" w:ascii="Times New Roman" w:hAnsi="Times New Roman"/>
          <w:sz w:val="24"/>
        </w:rPr>
      </w:r>
    </w:p>
    <w:p>
      <w:pPr>
        <w:pStyle w:val="Normal"/>
        <w:numPr>
          <w:ilvl w:val="0"/>
          <w:numId w:val="0"/>
        </w:numPr>
        <w:suppressAutoHyphens w:val="true"/>
        <w:jc w:val="center"/>
        <w:outlineLvl w:val="0"/>
        <w:rPr>
          <w:rFonts w:ascii="Times New Roman" w:hAnsi="Times New Roman" w:cs="Times New Roman"/>
          <w:sz w:val="24"/>
        </w:rPr>
      </w:pPr>
      <w:r>
        <w:rPr>
          <w:rFonts w:cs="Times New Roman" w:ascii="Times New Roman" w:hAnsi="Times New Roman"/>
          <w:b/>
          <w:sz w:val="24"/>
          <w:u w:val="single"/>
        </w:rPr>
        <w:t>CONFIDENTIALITY AGREEMENT</w:t>
      </w:r>
    </w:p>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t>Mr. Gros:</w:t>
      </w:r>
    </w:p>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BodyText"/>
        <w:rPr/>
      </w:pPr>
      <w:r>
        <w:rPr>
          <w:spacing w:val="-3"/>
          <w:sz w:val="24"/>
        </w:rPr>
        <w:t xml:space="preserve">  </w:t>
      </w:r>
      <w:r>
        <w:rPr>
          <w:spacing w:val="-3"/>
          <w:sz w:val="24"/>
        </w:rPr>
        <w:t xml:space="preserve">Commodity Logic LLC (“Commodity Logic”) and the Virtual Markets Assurance Corporation (“VMAC”), (collectively the “Parties”), </w:t>
      </w:r>
      <w:r>
        <w:rPr>
          <w:sz w:val="24"/>
        </w:rPr>
        <w:t xml:space="preserve">would like to engage in discussions and exchange information concerning mutually-beneficial business relationships. Much of the information to be exchanged is confidential, and each Party wishes to protect its confidential information from disclosure by the other Party. </w:t>
      </w:r>
      <w:r>
        <w:rPr>
          <w:spacing w:val="-3"/>
          <w:sz w:val="24"/>
        </w:rPr>
        <w:t>The purpose of this letter is to confirm our understanding as to the treatment of certain information that may be delivered between the Parties from time to time with respect to the possible participation by the Parties in a potential business relationship relating to the energy markets, such participation to include acquisition of interests and/ or contractual arrangements (the “Transaction(s)”).</w:t>
      </w:r>
    </w:p>
    <w:p>
      <w:pPr>
        <w:pStyle w:val="BodyText2"/>
        <w:rPr/>
      </w:pPr>
      <w:r>
        <w:rPr/>
        <w:tab/>
        <w:t>As a condition to furnishing such information, the parties agree, as set forth below, to treat confidentially such information (collectively the "Confidential Information") which the Parties or their respective representatives or agents furnish between their representatives (including attorneys, accountants and financial advisors), associates, affiliates, or any of their respective directors, officers or employees (collectively the "Representatives").   All analyses, compilations, studies, notes or other documents prepared by the Parties or any of their representatives containing or based in whole or in part on any information furnished in contemplation of the Transaction (the foregoing being referred to as the “Evaluation Material”) is also covered herein and is not part of the Confidential Information.</w:t>
      </w:r>
    </w:p>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tab/>
        <w:t>The Parties agree that neither the Confidential Information nor the Evaluation Material will  be used in any way detrimental to the other Party, will be kept confidential by the Parties and their Representatives, shall not, except as hereinafter provided, without prior written consent, be disclosed, in any manner whatsoever, in whole or in part (except as provided elsewhere in this agreement), and shall not be used other than for the purpose of evaluating the Transactions.  Moreover, the Parties further agree to disclose Confidential Information and Evaluation Material only to those Representatives who need to know such information for the purpose of evaluating the Transactions and who shall (i) be advised of this Agreement, and (ii) agree with to be bound by the provisions hereof.  The Parties shall be responsible for any breach of this Agreement by their Representatives.</w:t>
      </w:r>
    </w:p>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tab/>
        <w:t>Without the other Party’s prior written consent, the Parties will not disclose, and will explicitly direct their Representatives who are given access to the Confidential Information or the Evaluation Material to not disclose to any person (other than a person authorized hereunder), the fact that the Confidential Information or the Evaluation Material has been made available, that discussions or negotiations between the Parties are taking place, or any of the terms, conditions or other facts with respect to the possible Transactions, including the status thereof.  The term "person" as used in this Agreement shall be broadly interpreted to include, without limitation, any corporation, company, partnership or individual, including your employer.</w:t>
      </w:r>
    </w:p>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tab/>
        <w:t>In the event that a Party or it’s Representatives are requested or become legally compelled (by oral questions, interrogatories, requests for information or documents, subpoena, civil investigative demand, court or government order or similar process) to disclose any of the Confidential Information or Evaluation Material or the fact that the Confidential Information or Evaluation Material has been made available, that discussions or negotiations between the Parties are taking place, or any of the terms, conditions or other facts with respect to the possible Transactions, it is agreed that the Parties, or their Representatives, as the case may be, will provide each other with prompt written notice of such request(s) so that  the Party who disclosed the Confidential Information or Evaluation Material may seek a protective order or other appropriate remedy.  In the event that such protective order or other remedy is not obtained, the Party requested to make such disclosure agrees that it will furnish only that portion of the Confidential Information and the Evaluation Material and other information which is legally required and will exercise reasonable efforts to obtain reliable assurance that confidential treatment will be accorded to that portion of the Confidential Information and the Evaluation Material and other information which is being disclosed.</w:t>
      </w:r>
    </w:p>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tab/>
        <w:t>Within ten (10) days of a Party’s delivery to the other of notice of termination of the discussions relating to a proposed Transaction, the required Party will deliver to the requesting Party the Confidential Information relating to the Transactions and all copies thereof  Or shall undertake the destruction of the Confidential Information and all copies thereof; provided, however, the required Party shall not be required to destroy or erase Confidential Information and Evaluation Material that is contained in an archived computer system backup made in accordance with a Party’s security and/or disaster recovery procedures. The required Party shall promptly confirm the destruction of the Confidential Information. All Evaluation Material of the required Party shall be retained by the required Party, but shall remain subject to the confidentiality provisions of this Agreement.</w:t>
      </w:r>
    </w:p>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tab/>
        <w:t>The terms “Confidential Information” and "Evaluation Material" do not include information which (i) is or becomes generally available to the public other than as a result of a disclosure by the Parties or their Representatives, (ii) was available to the Parties on a non-confidential basis prior to its disclosure, (iii) becomes available to the Parties on a non-confidential basis from a source other than one another or the Parties Representatives and was not otherwise obtained in violation of the terms of this letter or any law; provided, however, that such source is not known to the Parties to be bound by a confidentiality agreement, or (iv) is independently developed by the parties without reliance upon the Confidential Information or Evaluation Material.</w:t>
      </w:r>
    </w:p>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tab/>
        <w:t>The Parties agree that money damages may not be sufficient remedy for any breach of this Agreement by the Parties or their Representatives, and that in addition to all other remedies the Parties shall be entitled to specific performance and injunctive or other equitable relief as a remedy for any such breach, and further agree to waive and to use reasonable efforts to cause their Representatives to waive any requirement for the securing or posting of any bond in connection with such remedy.</w:t>
      </w:r>
    </w:p>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tab/>
        <w:t>It is further understood and agreed that no failure or delay by the Parties in exercising any right, power or privilege hereunder shall operate as a waiver thereof, nor shall any single or partial exercise thereof preclude any other or further exercise thereof or the exercise of any right, power or privilege hereunder.</w:t>
      </w:r>
    </w:p>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tab/>
        <w:t>Any provision of this Agreement which is prohibited or unenforceable in any jurisdiction shall, in such jurisdiction, be ineffective to the extent of such prohibition or unenforceability without invalidating the remaining provisions hereof, and any such prohibition or unenforceability in any jurisdiction shall not invalidate or render unenforceable such provision in any other jurisdiction.  Furthermore, in lieu of each unenforceable provision there shall be added automatically as a part of this Agreement a provision as similar in terms to such unenforceable provision as may be possible and be legal, valid and enforceable.</w:t>
      </w:r>
    </w:p>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tab/>
        <w:t>The Parties also confirm our understanding that any agreement between or among us as to a Transaction will exist only when such agreement is in writing and duly executed by the parties thereto.</w:t>
      </w:r>
    </w:p>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tab/>
        <w:t>This Agreement may be executed in several counterparts, all of which together shall constitute one and the same agreement.</w:t>
      </w:r>
    </w:p>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tab/>
        <w:t>This Agreement shall be governed by the laws of the State of New York and, as applicable, the laws of the United States of America.</w:t>
      </w:r>
    </w:p>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tab/>
        <w:t>The Parties agree that all right, title and interest in and to the Confidential Information and Evalutaion Material disclosed hereunder shall be retained by the disclosing Party and that no present or future intellectual property rights or licenses are offered, granted or implied by the disclosure of any Confidential Information or Evaluation Material hereunder.</w:t>
      </w:r>
    </w:p>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tab/>
        <w:t xml:space="preserve">The provisions of this Agreement shall terminate on the date two years from the date of this Agreement. </w:t>
      </w:r>
    </w:p>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tab/>
        <w:tab/>
        <w:tab/>
        <w:tab/>
        <w:tab/>
        <w:tab/>
        <w:t>Very truly yours,</w:t>
      </w:r>
    </w:p>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tab/>
        <w:tab/>
        <w:tab/>
        <w:tab/>
        <w:tab/>
        <w:tab/>
      </w:r>
    </w:p>
    <w:p>
      <w:pPr>
        <w:pStyle w:val="Normal"/>
        <w:numPr>
          <w:ilvl w:val="0"/>
          <w:numId w:val="0"/>
        </w:numPr>
        <w:suppressAutoHyphens w:val="true"/>
        <w:ind w:end="-180"/>
        <w:jc w:val="both"/>
        <w:outlineLvl w:val="0"/>
        <w:rPr>
          <w:rFonts w:ascii="Times New Roman" w:hAnsi="Times New Roman" w:cs="Times New Roman"/>
          <w:spacing w:val="-3"/>
          <w:sz w:val="24"/>
        </w:rPr>
      </w:pPr>
      <w:r>
        <w:rPr>
          <w:rFonts w:cs="Times New Roman" w:ascii="Times New Roman" w:hAnsi="Times New Roman"/>
          <w:spacing w:val="-3"/>
          <w:sz w:val="24"/>
        </w:rPr>
        <w:tab/>
        <w:tab/>
        <w:tab/>
        <w:tab/>
        <w:tab/>
        <w:tab/>
        <w:t xml:space="preserve">Virtual Markets Assurance Corporation </w:t>
      </w:r>
    </w:p>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tab/>
        <w:tab/>
        <w:tab/>
        <w:tab/>
        <w:tab/>
        <w:tab/>
      </w:r>
    </w:p>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tab/>
        <w:tab/>
        <w:tab/>
        <w:tab/>
        <w:tab/>
        <w:tab/>
        <w:t>___________________________</w:t>
      </w:r>
    </w:p>
    <w:p>
      <w:pPr>
        <w:pStyle w:val="Normal"/>
        <w:numPr>
          <w:ilvl w:val="0"/>
          <w:numId w:val="0"/>
        </w:numPr>
        <w:suppressAutoHyphens w:val="true"/>
        <w:ind w:hanging="720" w:start="720" w:end="0"/>
        <w:jc w:val="both"/>
        <w:outlineLvl w:val="0"/>
        <w:rPr>
          <w:rFonts w:ascii="Times New Roman" w:hAnsi="Times New Roman" w:cs="Times New Roman"/>
          <w:spacing w:val="-3"/>
          <w:sz w:val="24"/>
        </w:rPr>
      </w:pPr>
      <w:r>
        <w:rPr>
          <w:rFonts w:cs="Times New Roman" w:ascii="Times New Roman" w:hAnsi="Times New Roman"/>
          <w:spacing w:val="-3"/>
          <w:sz w:val="24"/>
        </w:rPr>
        <w:tab/>
        <w:tab/>
        <w:tab/>
        <w:tab/>
        <w:tab/>
        <w:tab/>
        <w:t>By: J. Scott Perry</w:t>
      </w:r>
    </w:p>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tab/>
        <w:tab/>
        <w:tab/>
        <w:tab/>
        <w:tab/>
        <w:t xml:space="preserve">     </w:t>
        <w:tab/>
        <w:t xml:space="preserve">      President &amp; COO</w:t>
      </w:r>
    </w:p>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numPr>
          <w:ilvl w:val="0"/>
          <w:numId w:val="0"/>
        </w:numPr>
        <w:suppressAutoHyphens w:val="true"/>
        <w:jc w:val="both"/>
        <w:outlineLvl w:val="0"/>
        <w:rPr>
          <w:rFonts w:ascii="Times New Roman" w:hAnsi="Times New Roman" w:cs="Times New Roman"/>
          <w:spacing w:val="-3"/>
          <w:sz w:val="24"/>
        </w:rPr>
      </w:pPr>
      <w:r>
        <w:rPr>
          <w:rFonts w:cs="Times New Roman" w:ascii="Times New Roman" w:hAnsi="Times New Roman"/>
          <w:spacing w:val="-3"/>
          <w:sz w:val="24"/>
        </w:rPr>
        <w:t>Confirmed and Agreed to</w:t>
      </w:r>
    </w:p>
    <w:p>
      <w:pPr>
        <w:pStyle w:val="Normal"/>
        <w:suppressAutoHyphens w:val="true"/>
        <w:jc w:val="both"/>
        <w:rPr/>
      </w:pPr>
      <w:r>
        <w:rPr>
          <w:rFonts w:cs="Times New Roman" w:ascii="Times New Roman" w:hAnsi="Times New Roman"/>
          <w:spacing w:val="-3"/>
          <w:sz w:val="24"/>
        </w:rPr>
        <w:t>as of the ___</w:t>
      </w:r>
      <w:r>
        <w:rPr>
          <w:rFonts w:cs="Times New Roman" w:ascii="Times New Roman" w:hAnsi="Times New Roman"/>
          <w:spacing w:val="-3"/>
          <w:sz w:val="24"/>
          <w:vertAlign w:val="superscript"/>
        </w:rPr>
        <w:t>th</w:t>
      </w:r>
      <w:r>
        <w:rPr>
          <w:rFonts w:cs="Times New Roman" w:ascii="Times New Roman" w:hAnsi="Times New Roman"/>
          <w:spacing w:val="-3"/>
          <w:sz w:val="24"/>
        </w:rPr>
        <w:t xml:space="preserve"> day of September</w:t>
      </w:r>
    </w:p>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t>________, 2001:</w:t>
      </w:r>
    </w:p>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suppressAutoHyphens w:val="true"/>
        <w:jc w:val="both"/>
        <w:rPr>
          <w:rFonts w:ascii="Times New Roman" w:hAnsi="Times New Roman" w:cs="Times New Roman"/>
          <w:spacing w:val="-3"/>
          <w:sz w:val="24"/>
        </w:rPr>
      </w:pPr>
      <w:r>
        <w:rPr>
          <w:rFonts w:eastAsia="Times New Roman" w:cs="Times New Roman" w:ascii="Times New Roman" w:hAnsi="Times New Roman"/>
          <w:spacing w:val="-3"/>
          <w:sz w:val="24"/>
        </w:rPr>
        <w:t xml:space="preserve"> </w:t>
      </w:r>
      <w:r>
        <w:rPr>
          <w:rFonts w:cs="Times New Roman" w:ascii="Times New Roman" w:hAnsi="Times New Roman"/>
          <w:spacing w:val="-3"/>
          <w:sz w:val="24"/>
        </w:rPr>
        <w:t>Commodity Logic LLC</w:t>
      </w:r>
    </w:p>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t>___________________________</w:t>
      </w:r>
    </w:p>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t>By:  Tom Gros</w:t>
      </w:r>
    </w:p>
    <w:p>
      <w:pPr>
        <w:pStyle w:val="Date"/>
        <w:rPr>
          <w:rFonts w:ascii="Times New Roman" w:hAnsi="Times New Roman" w:cs="Times New Roman"/>
          <w:spacing w:val="-3"/>
          <w:sz w:val="24"/>
        </w:rPr>
      </w:pPr>
      <w:r>
        <w:rPr>
          <w:rFonts w:cs="Times New Roman" w:ascii="Times New Roman" w:hAnsi="Times New Roman"/>
          <w:spacing w:val="-3"/>
          <w:sz w:val="24"/>
        </w:rPr>
      </w:r>
    </w:p>
    <w:p>
      <w:pPr>
        <w:pStyle w:val="Date"/>
        <w:rPr>
          <w:rFonts w:ascii="Times New Roman" w:hAnsi="Times New Roman" w:cs="Times New Roman"/>
          <w:sz w:val="24"/>
        </w:rPr>
      </w:pPr>
      <w:r>
        <w:rPr>
          <w:rFonts w:cs="Times New Roman" w:ascii="Times New Roman" w:hAnsi="Times New Roman"/>
          <w:sz w:val="24"/>
        </w:rPr>
      </w:r>
    </w:p>
    <w:sectPr>
      <w:headerReference w:type="default" r:id="rId2"/>
      <w:headerReference w:type="first" r:id="rId3"/>
      <w:type w:val="continuous"/>
      <w:pgSz w:w="12240" w:h="15840"/>
      <w:pgMar w:left="1440" w:right="1440" w:gutter="0" w:header="720" w:top="1440" w:footer="0" w:bottom="1440"/>
      <w:formProt w:val="true"/>
      <w:titlePg/>
      <w:textDirection w:val="lrTb"/>
      <w:docGrid w:type="default" w:linePitch="299"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etica">
    <w:altName w:val="Arial"/>
    <w:charset w:val="00" w:characterSet="windows-1252"/>
    <w:family w:val="swiss"/>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rPr>
    </w:pPr>
    <w:r>
      <w:rPr>
        <w:rFonts w:cs="Times New Roman" w:ascii="Times New Roman" w:hAnsi="Times New Roman"/>
      </w:rPr>
    </w:r>
  </w:p>
  <w:p>
    <w:pPr>
      <w:pStyle w:val="Header"/>
      <w:rPr>
        <w:rFonts w:ascii="Times New Roman" w:hAnsi="Times New Roman" w:cs="Times New Roman"/>
      </w:rPr>
    </w:pPr>
    <w:r>
      <w:rPr>
        <w:rFonts w:cs="Times New Roman" w:ascii="Times New Roman" w:hAnsi="Times New Roman"/>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umentProtection w:edit="forms" w:enforcement="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Helvetica" w:hAnsi="Helvetica" w:eastAsia="SimSun;宋体" w:cs="Helvetica"/>
      <w:color w:val="auto"/>
      <w:sz w:val="22"/>
      <w:szCs w:val="20"/>
      <w:lang w:val="en-US" w:eastAsia="zh-CN" w:bidi="ar-SA"/>
    </w:rPr>
  </w:style>
  <w:style w:type="paragraph" w:styleId="Heading1">
    <w:name w:val="heading 1"/>
    <w:basedOn w:val="Normal"/>
    <w:next w:val="Normal"/>
    <w:qFormat/>
    <w:pPr>
      <w:keepNext w:val="true"/>
      <w:numPr>
        <w:ilvl w:val="0"/>
        <w:numId w:val="1"/>
      </w:numPr>
      <w:suppressAutoHyphens w:val="true"/>
      <w:outlineLvl w:val="0"/>
    </w:pPr>
    <w:rPr>
      <w:rFonts w:ascii="Times New Roman" w:hAnsi="Times New Roman" w:cs="Times New Roman"/>
      <w:b/>
      <w:bCs/>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720" w:start="0" w:end="0"/>
    </w:pPr>
    <w:rPr>
      <w:rFonts w:ascii="Times New Roman" w:hAnsi="Times New Roman" w:eastAsia="Times New Roman" w:cs="Times New Roman"/>
      <w:sz w:val="2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ate">
    <w:name w:val="Date"/>
    <w:basedOn w:val="Normal"/>
    <w:next w:val="Normal"/>
    <w:qForma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suppressAutoHyphens w:val="true"/>
      <w:jc w:val="both"/>
    </w:pPr>
    <w:rPr>
      <w:rFonts w:ascii="Times New Roman" w:hAnsi="Times New Roman" w:cs="Times New Roman"/>
      <w:spacing w:val="-3"/>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2001-09-26T12:16:00Z</dcterms:created>
  <dc:creator>C. Rivera</dc:creator>
  <dc:description/>
  <dc:language>en-CA</dc:language>
  <cp:lastModifiedBy>mgreenbe</cp:lastModifiedBy>
  <cp:lastPrinted>2001-09-07T16:26:00Z</cp:lastPrinted>
  <dcterms:modified xsi:type="dcterms:W3CDTF">2001-10-22T11:00:00Z</dcterms:modified>
  <cp:revision>3</cp:revision>
  <dc:subject/>
  <dc:title>VIRTUAL MARKETS ASSURANCE COMPANY</dc:title>
</cp:coreProperties>
</file>