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14,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Totality Corporation</w:t>
      </w:r>
    </w:p>
    <w:p>
      <w:pPr>
        <w:pStyle w:val="Normal"/>
        <w:jc w:val="both"/>
        <w:rPr>
          <w:rFonts w:ascii="Times New Roman" w:hAnsi="Times New Roman" w:cs="Times New Roman"/>
          <w:sz w:val="22"/>
        </w:rPr>
      </w:pPr>
      <w:r>
        <w:rPr>
          <w:rFonts w:cs="Times New Roman" w:ascii="Times New Roman" w:hAnsi="Times New Roman"/>
          <w:sz w:val="22"/>
        </w:rPr>
        <w:t>44 Montgomery Street</w:t>
      </w:r>
    </w:p>
    <w:p>
      <w:pPr>
        <w:pStyle w:val="Normal"/>
        <w:jc w:val="both"/>
        <w:rPr>
          <w:rFonts w:ascii="Times New Roman" w:hAnsi="Times New Roman" w:cs="Times New Roman"/>
          <w:sz w:val="22"/>
        </w:rPr>
      </w:pPr>
      <w:r>
        <w:rPr>
          <w:rFonts w:cs="Times New Roman" w:ascii="Times New Roman" w:hAnsi="Times New Roman"/>
          <w:sz w:val="22"/>
        </w:rPr>
        <w:t>Suite 500</w:t>
      </w:r>
    </w:p>
    <w:p>
      <w:pPr>
        <w:pStyle w:val="Normal"/>
        <w:jc w:val="both"/>
        <w:rPr>
          <w:rFonts w:ascii="Times New Roman" w:hAnsi="Times New Roman" w:cs="Times New Roman"/>
          <w:sz w:val="22"/>
        </w:rPr>
      </w:pPr>
      <w:r>
        <w:rPr>
          <w:rFonts w:cs="Times New Roman" w:ascii="Times New Roman" w:hAnsi="Times New Roman"/>
          <w:sz w:val="22"/>
        </w:rPr>
        <w:t>San Francisco, CA 94104</w:t>
      </w:r>
    </w:p>
    <w:p>
      <w:pPr>
        <w:pStyle w:val="Normal"/>
        <w:jc w:val="both"/>
        <w:rPr>
          <w:rFonts w:ascii="Times New Roman" w:hAnsi="Times New Roman" w:cs="Times New Roman"/>
          <w:sz w:val="22"/>
        </w:rPr>
      </w:pPr>
      <w:r>
        <w:rPr>
          <w:rFonts w:cs="Times New Roman" w:ascii="Times New Roman" w:hAnsi="Times New Roman"/>
          <w:sz w:val="22"/>
        </w:rPr>
        <w:t>Attn:  Mr. John Sheputis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Totality Corporation and Enron Net Works LLC and EnronOnline, LLC (hereinafter individually and collectively referred to as a party) and their affiliates are prepared to furnish each other with information in connection with a possible transaction or other business relationship (“Transaction”) related to the marketing of various products of both parties to the respective customers of each of the parties, which information may include, but not be limited to, financial statements, financial projections and customer information (collectively,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TOTALITY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/mnt/main-storage/datasets/enron-docs/doc/nda_totalitycorp_3_14_01_.doc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Totality Corporation</w:t>
    </w:r>
  </w:p>
  <w:p>
    <w:pPr>
      <w:pStyle w:val="Header"/>
      <w:rPr>
        <w:rFonts w:ascii="Times New Roman" w:hAnsi="Times New Roman" w:cs="Times New Roman"/>
        <w:sz w:val="22"/>
      </w:rPr>
    </w:pPr>
    <w:r>
      <w:rPr>
        <w:rFonts w:cs="Times New Roman" w:ascii="Times New Roman" w:hAnsi="Times New Roman"/>
        <w:sz w:val="22"/>
      </w:rPr>
      <w:t>March 14,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2001-03-14T12:04:00Z</dcterms:created>
  <dc:creator>ECT</dc:creator>
  <dc:description/>
  <dc:language>en-CA</dc:language>
  <cp:lastModifiedBy>mgreenbe</cp:lastModifiedBy>
  <cp:lastPrinted>2000-11-30T13:41:00Z</cp:lastPrinted>
  <dcterms:modified xsi:type="dcterms:W3CDTF">2001-03-14T12:13:00Z</dcterms:modified>
  <cp:revision>5</cp:revision>
  <dc:subject/>
  <dc:title>Reciprocal Confidentiality Agreement</dc:title>
</cp:coreProperties>
</file>