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r>
    </w:p>
    <w:p>
      <w:pPr>
        <w:pStyle w:val="Heading"/>
        <w:widowControl/>
        <w:rPr>
          <w:sz w:val="20"/>
        </w:rPr>
      </w:pPr>
      <w:r>
        <w:rPr>
          <w:sz w:val="20"/>
        </w:rPr>
      </w:r>
    </w:p>
    <w:p>
      <w:pPr>
        <w:pStyle w:val="Heading"/>
        <w:widowControl/>
        <w:rPr>
          <w:sz w:val="20"/>
        </w:rPr>
      </w:pPr>
      <w:r>
        <w:rPr>
          <w:sz w:val="20"/>
        </w:rPr>
      </w:r>
    </w:p>
    <w:p>
      <w:pPr>
        <w:pStyle w:val="Heading"/>
        <w:widowControl/>
        <w:rPr>
          <w:sz w:val="20"/>
        </w:rPr>
      </w:pPr>
      <w:r>
        <w:rPr>
          <w:sz w:val="20"/>
        </w:rPr>
        <w:t>CONFIDENTIALITY AND NON-USE AGREEMENT</w:t>
      </w:r>
    </w:p>
    <w:p>
      <w:pPr>
        <w:pStyle w:val="Heading"/>
        <w:widowControl/>
        <w:rPr>
          <w:sz w:val="20"/>
        </w:rPr>
      </w:pPr>
      <w:r>
        <w:rPr>
          <w:sz w:val="20"/>
        </w:rPr>
      </w:r>
    </w:p>
    <w:p>
      <w:pPr>
        <w:pStyle w:val="Normal"/>
        <w:widowControl/>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rPr>
        <w:tab/>
        <w:t xml:space="preserve">This </w:t>
      </w:r>
      <w:r>
        <w:rPr>
          <w:rFonts w:cs="Times New Roman" w:ascii="Times New Roman" w:hAnsi="Times New Roman"/>
          <w:b/>
          <w:sz w:val="20"/>
        </w:rPr>
        <w:t>Confidentiality and Non-Use Agreement</w:t>
      </w:r>
      <w:r>
        <w:rPr>
          <w:rFonts w:cs="Times New Roman" w:ascii="Times New Roman" w:hAnsi="Times New Roman"/>
          <w:sz w:val="20"/>
        </w:rPr>
        <w:t xml:space="preserve"> (as it may be amended from time-to-time, this "Agreement") is made as of this ________ __, 2001, by and between </w:t>
      </w:r>
      <w:r>
        <w:rPr>
          <w:rFonts w:cs="Times New Roman" w:ascii="Times New Roman" w:hAnsi="Times New Roman"/>
          <w:b/>
          <w:sz w:val="20"/>
        </w:rPr>
        <w:t>Green Mountain Energy Company</w:t>
      </w:r>
      <w:r>
        <w:rPr>
          <w:rFonts w:cs="Times New Roman" w:ascii="Times New Roman" w:hAnsi="Times New Roman"/>
          <w:sz w:val="20"/>
        </w:rPr>
        <w:t xml:space="preserve">, whose principal business address is 3815 Capital of Texas Highway South -- Suite 100, Austin, Texas 78704 (the “Company”), and Enron Net Works, LLC, whose principal business address is located at 1400 Smith Street, Houston, Texas 77002 (the "Enron").  For purposes of this Agreement, Company and Enron may be hereinafter collectively referred to as the “Parties” or individually as a “Party.” </w:t>
      </w:r>
    </w:p>
    <w:p>
      <w:pPr>
        <w:pStyle w:val="Normal"/>
        <w:widowControl/>
        <w:jc w:val="both"/>
        <w:rPr>
          <w:rFonts w:ascii="Times New Roman" w:hAnsi="Times New Roman" w:cs="Times New Roman"/>
          <w:sz w:val="20"/>
        </w:rPr>
      </w:pPr>
      <w:r>
        <w:rPr>
          <w:rFonts w:cs="Times New Roman" w:ascii="Times New Roman" w:hAnsi="Times New Roman"/>
          <w:sz w:val="20"/>
        </w:rPr>
      </w:r>
    </w:p>
    <w:p>
      <w:pPr>
        <w:pStyle w:val="Normal"/>
        <w:widowControl/>
        <w:jc w:val="both"/>
        <w:rPr>
          <w:rFonts w:ascii="Times New Roman" w:hAnsi="Times New Roman" w:cs="Times New Roman"/>
          <w:sz w:val="20"/>
        </w:rPr>
      </w:pPr>
      <w:r>
        <w:rPr>
          <w:rFonts w:cs="Times New Roman" w:ascii="Times New Roman" w:hAnsi="Times New Roman"/>
          <w:sz w:val="20"/>
        </w:rPr>
        <w:tab/>
        <w:t>WHEREAS, the Parties have entered into discussions relating to Company’s access to and use of an electronic trading platform owned and operated by Enron, which access and use is subject to Enron reviewing certain financial information of Company (the "Discussions"); and</w:t>
      </w:r>
    </w:p>
    <w:p>
      <w:pPr>
        <w:pStyle w:val="Normal"/>
        <w:widowControl/>
        <w:jc w:val="both"/>
        <w:rPr>
          <w:rFonts w:ascii="Times New Roman" w:hAnsi="Times New Roman" w:cs="Times New Roman"/>
          <w:sz w:val="20"/>
        </w:rPr>
      </w:pPr>
      <w:r>
        <w:rPr>
          <w:rFonts w:cs="Times New Roman" w:ascii="Times New Roman" w:hAnsi="Times New Roman"/>
          <w:sz w:val="20"/>
        </w:rPr>
      </w:r>
    </w:p>
    <w:p>
      <w:pPr>
        <w:pStyle w:val="Normal"/>
        <w:widowControl/>
        <w:jc w:val="both"/>
        <w:rPr>
          <w:rFonts w:ascii="Times New Roman" w:hAnsi="Times New Roman" w:cs="Times New Roman"/>
          <w:sz w:val="20"/>
        </w:rPr>
      </w:pPr>
      <w:r>
        <w:rPr>
          <w:rFonts w:cs="Times New Roman" w:ascii="Times New Roman" w:hAnsi="Times New Roman"/>
          <w:sz w:val="20"/>
        </w:rPr>
        <w:tab/>
        <w:t>WHEREAS, the Parties anticipate that, during the Discussions, Company (being the “Disclosing Party”) disclose to Enron (being the “Receiving Party”) certain confidential information and other related documentation proprietary to the Disclosing Party relating specifically to the financial condition of Disclosing Party; and</w:t>
      </w:r>
    </w:p>
    <w:p>
      <w:pPr>
        <w:pStyle w:val="Normal"/>
        <w:widowControl/>
        <w:jc w:val="both"/>
        <w:rPr>
          <w:rFonts w:ascii="Times New Roman" w:hAnsi="Times New Roman" w:cs="Times New Roman"/>
          <w:sz w:val="20"/>
        </w:rPr>
      </w:pPr>
      <w:r>
        <w:rPr>
          <w:rFonts w:cs="Times New Roman" w:ascii="Times New Roman" w:hAnsi="Times New Roman"/>
          <w:sz w:val="20"/>
        </w:rPr>
      </w:r>
    </w:p>
    <w:p>
      <w:pPr>
        <w:pStyle w:val="Normal"/>
        <w:widowControl/>
        <w:jc w:val="both"/>
        <w:rPr>
          <w:rFonts w:ascii="Times New Roman" w:hAnsi="Times New Roman" w:cs="Times New Roman"/>
          <w:sz w:val="20"/>
        </w:rPr>
      </w:pPr>
      <w:r>
        <w:rPr>
          <w:rFonts w:cs="Times New Roman" w:ascii="Times New Roman" w:hAnsi="Times New Roman"/>
          <w:sz w:val="20"/>
        </w:rPr>
        <w:tab/>
        <w:t>WHEREAS, the Parties desire to provide for confidential and proprietary treatment of such information so disclosed in order to protect the Disclosing Party.</w:t>
      </w:r>
    </w:p>
    <w:p>
      <w:pPr>
        <w:pStyle w:val="Normal"/>
        <w:widowControl/>
        <w:jc w:val="both"/>
        <w:rPr>
          <w:rFonts w:ascii="Times New Roman" w:hAnsi="Times New Roman" w:cs="Times New Roman"/>
          <w:sz w:val="20"/>
        </w:rPr>
      </w:pPr>
      <w:r>
        <w:rPr>
          <w:rFonts w:cs="Times New Roman" w:ascii="Times New Roman" w:hAnsi="Times New Roman"/>
          <w:sz w:val="20"/>
        </w:rPr>
      </w:r>
    </w:p>
    <w:p>
      <w:pPr>
        <w:pStyle w:val="Normal"/>
        <w:widowControl/>
        <w:jc w:val="both"/>
        <w:rPr>
          <w:rFonts w:ascii="Times New Roman" w:hAnsi="Times New Roman" w:cs="Times New Roman"/>
          <w:sz w:val="20"/>
        </w:rPr>
      </w:pPr>
      <w:r>
        <w:rPr>
          <w:rFonts w:cs="Times New Roman" w:ascii="Times New Roman" w:hAnsi="Times New Roman"/>
          <w:sz w:val="20"/>
        </w:rPr>
        <w:tab/>
        <w:t>NOW THEREFORE, in consideration of these premises and for other good and valuable consideration, hereby acknowledged and deemed by each of the Parties to be sufficient, the Parties agree as follows:</w:t>
      </w:r>
    </w:p>
    <w:p>
      <w:pPr>
        <w:pStyle w:val="Normal"/>
        <w:widowControl/>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rPr>
        <w:tab/>
        <w:t>1. The term “</w:t>
      </w:r>
      <w:r>
        <w:rPr>
          <w:rFonts w:cs="Times New Roman" w:ascii="Times New Roman" w:hAnsi="Times New Roman"/>
          <w:sz w:val="20"/>
          <w:u w:val="single"/>
        </w:rPr>
        <w:t>Confidential Information</w:t>
      </w:r>
      <w:r>
        <w:rPr>
          <w:rFonts w:cs="Times New Roman" w:ascii="Times New Roman" w:hAnsi="Times New Roman"/>
          <w:sz w:val="20"/>
        </w:rPr>
        <w:t>” shall mean the Disclosing Party’s business information and plans including, without limitation: (a) financial information (as applicable), (b) marketing plans and techniques; (c) supplier contract terms and conditions; (d) customer information, including load and power supply data; (e) sales and pricing information; and (f) products, processes, assets, customers, markets, management, technology, know-how, trade secrets, financial condition or prospects.  The Receiving Party shall treat the Confidential Information, in whatever form received, as proprietary and will maintain it in confidence.</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 xml:space="preserve">2.  Only those employees of the Receiving Party directly involved in the Discussions shall be afforded access to the Confidential Information, and all such employees shall maintain confidentiality under the terms hereof.  The Receiving Party will instruct employees accessing the Confidential Information regarding maintenance of the confidentiality of the Confidential Information so obtained.  Only enough copies of the Confidential Information as may be necessary to directly benefit the Discussions contemplated by this Agreement shall be made without prior written consent of the Disclosing Party, which consent may be arbitrarily withheld.  The Receiving Party shall take all necessary steps to ensure that no other persons gain access to the Confidential Information. </w:t>
      </w:r>
    </w:p>
    <w:p>
      <w:pPr>
        <w:pStyle w:val="Normal"/>
        <w:ind w:hanging="720" w:start="1440" w:end="0"/>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3. The Receiving Party shall not use the Confidential Information for any purpose other than in connection with the Discussions and all agreements executed or to be executed between the Company and Enron or any of their respective affiliates directly related to the Discussions.</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 xml:space="preserve">4.  At the termination of this Agreement, or upon the earlier demand by the Disclosing Party, the Confidential Information and any copies made thereof shall be immediately returned to the Disclosing Party or destroyed; provided, however, notwithstanding anything to the contrary in this Agreement, the Receiving Party shall not be obligated to erase Confidential Information that is contained in an archived computer system backup made in accordance with the Receiving  Party's security and/or disaster recovery procedures. </w:t>
      </w:r>
    </w:p>
    <w:p>
      <w:pPr>
        <w:pStyle w:val="Normal"/>
        <w:ind w:hanging="720" w:start="1440" w:end="0"/>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5.  The Parties and their affiliates, controlling persons, employees and agents agree that disclosure of any Confidential Information, except as authorized in this Agreement, or any violation of this Agreement, will cause the Disclosing Party immediate and irreparable harm remediable by preliminary and permanent injunctive relief, in addition to any actual damages caused by such disclosure or violation.</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pPr>
      <w:r>
        <w:rPr>
          <w:sz w:val="20"/>
        </w:rPr>
        <w:tab/>
      </w:r>
      <w:r>
        <w:rPr>
          <w:rFonts w:cs="Times New Roman" w:ascii="Times New Roman" w:hAnsi="Times New Roman"/>
          <w:sz w:val="20"/>
        </w:rPr>
        <w:t>6.  Notwithstanding the preceding, the restrictions contained herein shall not apply to any data or documentation in the possession of the Receiving Party: (a) which is independently developed by the Receiving Party without any involvement of or information from the Disclosing Party; (b) which becomes known to the Receiving Party from a source other than the Disclosing Party without breach of any agreement relating to such information; (c) which is currently in the public domain or subsequently enters the public domain lawfully and through no fault of the Receiving Party; or (d) which, after the Receiving Party has provided at least five (5) business days' advance notice to the Disclosing Party (or such notice as is reasonable under the circumstances), is disclosed pursuant to any statutory, regulatory or judicial order or requirement of law.</w:t>
      </w:r>
    </w:p>
    <w:p>
      <w:pPr>
        <w:pStyle w:val="Normal"/>
        <w:widowControl/>
        <w:ind w:hanging="720" w:start="720" w:end="0"/>
        <w:jc w:val="both"/>
        <w:rPr>
          <w:rFonts w:ascii="Times New Roman" w:hAnsi="Times New Roman" w:cs="Times New Roman"/>
          <w:sz w:val="20"/>
        </w:rPr>
      </w:pPr>
      <w:r>
        <w:rPr>
          <w:rFonts w:cs="Times New Roman" w:ascii="Times New Roman" w:hAnsi="Times New Roman"/>
          <w:sz w:val="20"/>
        </w:rPr>
      </w:r>
    </w:p>
    <w:p>
      <w:pPr>
        <w:pStyle w:val="Normal"/>
        <w:widowControl/>
        <w:tabs>
          <w:tab w:val="left" w:pos="720" w:leader="none"/>
          <w:tab w:val="left" w:pos="1440" w:leader="none"/>
          <w:tab w:val="left" w:pos="2160" w:leader="none"/>
        </w:tabs>
        <w:jc w:val="both"/>
        <w:rPr/>
      </w:pPr>
      <w:r>
        <w:rPr>
          <w:sz w:val="20"/>
        </w:rPr>
        <w:tab/>
      </w:r>
      <w:r>
        <w:rPr>
          <w:rFonts w:cs="Times New Roman" w:ascii="Times New Roman" w:hAnsi="Times New Roman"/>
          <w:sz w:val="20"/>
        </w:rPr>
        <w:t>7.  This Agreement shall be effective on the date hereof and terminate two (2) years after the date hereof.</w:t>
      </w:r>
    </w:p>
    <w:p>
      <w:pPr>
        <w:pStyle w:val="Normal"/>
        <w:widowControl/>
        <w:tabs>
          <w:tab w:val="clear" w:pos="720"/>
          <w:tab w:val="left" w:pos="1440" w:leader="none"/>
          <w:tab w:val="left" w:pos="2160" w:leader="none"/>
        </w:tabs>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8.  No provision of this Agreement shall in any way inure to the benefit of any third person (including the public at large) so as to constitute any such person a third party beneficiary of this Agreement or of any one or more of the terms hereof, or otherwise give rise to any cause of action in any person not a party hereto.</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9. Waiver of the breach of any terms of this Agreement shall not constitute a waiver of any subsequent breach of that term or a breach of any other provision of this Agreement.  Failure of a Party to insist upon or to enforce strict performance by the other Party of any term of this Agreement shall not be construed as a waiver thereof, or as a relinquishment of the Party's right to insist or rely upon such terms or rights on any future occasion.</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10. This Agreement may be modified or amended only by written instrument signed by an authorized representative of both of the Parties hereto.</w:t>
      </w:r>
    </w:p>
    <w:p>
      <w:pPr>
        <w:pStyle w:val="Normal"/>
        <w:ind w:hanging="720" w:start="1440" w:end="0"/>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11.  If any term or provision of this Agreement shall be found to be illegal or unenforceable then, notwithstanding, this Agreement shall remain in full force and effect and such term or provision shall be deemed stricken.</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12.  Each and all of the covenants and agreements contained within this Agreement shall extend to and be binding upon the successors and assigns of the Parties hereto.</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13.  This Agreement supersedes all prior and contemporaneous oral or written communications between the Parties related to the terms or subject matter of this Agreement.  The written terms of this Agreement are intended by the Parties to be a final written expression of their agreement with respect to such terms, and as a complete and exclusive statement of the terms of the agreement between them.</w:t>
      </w:r>
    </w:p>
    <w:p>
      <w:pPr>
        <w:pStyle w:val="Normal"/>
        <w:widowControl/>
        <w:tabs>
          <w:tab w:val="clear" w:pos="720"/>
          <w:tab w:val="left" w:pos="1440" w:leader="none"/>
          <w:tab w:val="left" w:pos="2160" w:leader="none"/>
        </w:tabs>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14.  This Agreement and the rights of Parties hereto shall be governed by the laws applicable to contracts made and to be performed entirely within the State of Texas, without regard to its principles regarding conflicts of law.</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15. Except as otherwise expressly provided herein, all disputes which arise in connection with, or are related to this Agreement or any claimed breach thereof, shall be resolved by arbitration by the American Arbitration Association (“AAA”) under the Commercial Arbitration Rules, and conducted in Austin, Texas, and judgment on the award by the arbitrator(s) may be entered in any court having jurisdiction thereof.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widowControl/>
        <w:tabs>
          <w:tab w:val="clear" w:pos="720"/>
          <w:tab w:val="left" w:pos="1440" w:leader="none"/>
          <w:tab w:val="left" w:pos="216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s>
        <w:jc w:val="both"/>
        <w:rPr/>
      </w:pPr>
      <w:r>
        <w:rPr>
          <w:sz w:val="20"/>
        </w:rPr>
        <w:tab/>
      </w:r>
      <w:r>
        <w:rPr>
          <w:rFonts w:cs="Times New Roman" w:ascii="Times New Roman" w:hAnsi="Times New Roman"/>
          <w:sz w:val="20"/>
        </w:rPr>
        <w:t>16. Any notice or communication required hereunder shall be in writing and shall be: (a) delivered in person; (b) sent by United States mail (certified with return receipt requested) or overnight courier and addressed to the intended recipient at the address set forth below; or (c) sent by facsimile or electronic mail if promptly confirmed in writing by the Party providing notice if such notice is immediately delivered pursuant to Subsections (a) or (b) of this Section, to the address set forth in the preamble of this Agreement or at such address of which a Party is notified by the other from time-to-time.</w:t>
      </w:r>
    </w:p>
    <w:p>
      <w:pPr>
        <w:pStyle w:val="Normal"/>
        <w:tabs>
          <w:tab w:val="left" w:pos="720"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s>
        <w:jc w:val="both"/>
        <w:rPr>
          <w:rFonts w:ascii="Times New Roman" w:hAnsi="Times New Roman" w:cs="Times New Roman"/>
          <w:sz w:val="20"/>
        </w:rPr>
      </w:pPr>
      <w:r>
        <w:rPr>
          <w:rFonts w:cs="Times New Roman" w:ascii="Times New Roman" w:hAnsi="Times New Roman"/>
          <w:sz w:val="20"/>
        </w:rPr>
        <w:tab/>
        <w:t xml:space="preserve">17.  Solely for purposes of the Discussions, the Confidential Information of Company shall not be provided or disclosed by Enron to any individual, employee or other representative of Enron Power Marketing, Inc., or New Power Holdings, Inc., without the prior written consent of the Company, which consent may be arbitrarily withheld.   </w:t>
      </w:r>
    </w:p>
    <w:p>
      <w:pPr>
        <w:pStyle w:val="Normal"/>
        <w:tabs>
          <w:tab w:val="left" w:pos="720"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s>
        <w:jc w:val="both"/>
        <w:rPr>
          <w:rFonts w:ascii="Times New Roman" w:hAnsi="Times New Roman" w:cs="Times New Roman"/>
          <w:sz w:val="20"/>
        </w:rPr>
      </w:pPr>
      <w:r>
        <w:rPr>
          <w:rFonts w:cs="Times New Roman" w:ascii="Times New Roman" w:hAnsi="Times New Roman"/>
          <w:sz w:val="20"/>
        </w:rPr>
        <w:tab/>
        <w:t>18.  Nothing in this Agreement shall be construed as creating, conveying, transferring, granting or conferring upon a Party any rights, license or authority in or to the Confidential Information of the other Party, except as specifically set forth in this Agreement.</w:t>
      </w:r>
    </w:p>
    <w:p>
      <w:pPr>
        <w:pStyle w:val="Normal"/>
        <w:tabs>
          <w:tab w:val="left" w:pos="720"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widowControl/>
        <w:tabs>
          <w:tab w:val="left" w:pos="720" w:leader="none"/>
          <w:tab w:val="left" w:pos="1440" w:leader="none"/>
          <w:tab w:val="left" w:pos="2160" w:leader="none"/>
        </w:tabs>
        <w:jc w:val="both"/>
        <w:rPr>
          <w:rFonts w:ascii="Times New Roman" w:hAnsi="Times New Roman" w:cs="Times New Roman"/>
          <w:sz w:val="20"/>
        </w:rPr>
      </w:pPr>
      <w:r>
        <w:rPr>
          <w:rFonts w:cs="Times New Roman" w:ascii="Times New Roman" w:hAnsi="Times New Roman"/>
          <w:b/>
          <w:sz w:val="20"/>
        </w:rPr>
        <w:tab/>
      </w:r>
      <w:r>
        <w:rPr>
          <w:rFonts w:cs="Times New Roman" w:ascii="Times New Roman" w:hAnsi="Times New Roman"/>
          <w:bCs/>
          <w:sz w:val="20"/>
        </w:rPr>
        <w:t>19.</w:t>
      </w:r>
      <w:r>
        <w:rPr>
          <w:rFonts w:cs="Times New Roman" w:ascii="Times New Roman" w:hAnsi="Times New Roman"/>
          <w:sz w:val="20"/>
        </w:rPr>
        <w:t xml:space="preserve"> This Agreement may be executed in counterparts, each of which shall be deemed to be an original, and all of which shall constitute one and the same agreement.</w:t>
      </w:r>
    </w:p>
    <w:p>
      <w:pPr>
        <w:pStyle w:val="Normal"/>
        <w:widowControl/>
        <w:tabs>
          <w:tab w:val="left" w:pos="720" w:leader="none"/>
          <w:tab w:val="left" w:pos="1440" w:leader="none"/>
          <w:tab w:val="left" w:pos="2160" w:leader="none"/>
        </w:tabs>
        <w:rPr>
          <w:rFonts w:ascii="Times New Roman" w:hAnsi="Times New Roman" w:cs="Times New Roman"/>
          <w:sz w:val="20"/>
        </w:rPr>
      </w:pPr>
      <w:r>
        <w:rPr>
          <w:rFonts w:cs="Times New Roman" w:ascii="Times New Roman" w:hAnsi="Times New Roman"/>
          <w:sz w:val="20"/>
        </w:rPr>
      </w:r>
    </w:p>
    <w:p>
      <w:pPr>
        <w:pStyle w:val="Normal"/>
        <w:widowControl/>
        <w:tabs>
          <w:tab w:val="left" w:pos="720" w:leader="none"/>
          <w:tab w:val="left" w:pos="1440" w:leader="none"/>
          <w:tab w:val="left" w:pos="2160" w:leader="none"/>
        </w:tabs>
        <w:rPr/>
      </w:pPr>
      <w:r>
        <w:rPr>
          <w:sz w:val="20"/>
        </w:rPr>
        <w:tab/>
      </w:r>
      <w:r>
        <w:rPr>
          <w:rFonts w:cs="Times New Roman" w:ascii="Times New Roman" w:hAnsi="Times New Roman"/>
          <w:sz w:val="20"/>
        </w:rPr>
        <w:t>IN WITNESS WHEREOF, the Parties have caused the Confidentiality and Non-Use Agreement to be executed and effective as of the date first set forth above.</w:t>
      </w:r>
    </w:p>
    <w:p>
      <w:pPr>
        <w:pStyle w:val="Normal"/>
        <w:widowControl/>
        <w:tabs>
          <w:tab w:val="clear" w:pos="720"/>
          <w:tab w:val="left" w:pos="2160" w:leader="none"/>
        </w:tabs>
        <w:rPr>
          <w:rFonts w:ascii="Times New Roman" w:hAnsi="Times New Roman" w:cs="Times New Roman"/>
          <w:sz w:val="20"/>
        </w:rPr>
      </w:pPr>
      <w:r>
        <w:rPr>
          <w:rFonts w:cs="Times New Roman" w:ascii="Times New Roman" w:hAnsi="Times New Roman"/>
          <w:sz w:val="20"/>
        </w:rPr>
      </w:r>
    </w:p>
    <w:p>
      <w:pPr>
        <w:pStyle w:val="BodyText"/>
        <w:rPr>
          <w:sz w:val="20"/>
        </w:rPr>
      </w:pPr>
      <w:r>
        <w:rPr>
          <w:sz w:val="20"/>
        </w:rPr>
        <w:t>Green Mountain Energy Company</w:t>
        <w:tab/>
        <w:tab/>
        <w:tab/>
        <w:t>Enron Net Works, LLC</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pPr>
      <w:r>
        <w:rPr>
          <w:rFonts w:cs="Times New Roman" w:ascii="Times New Roman" w:hAnsi="Times New Roman"/>
          <w:sz w:val="20"/>
        </w:rPr>
        <w:t>By:</w:t>
      </w:r>
      <w:r>
        <w:rPr>
          <w:rFonts w:cs="Times New Roman" w:ascii="Times New Roman" w:hAnsi="Times New Roman"/>
          <w:sz w:val="20"/>
          <w:u w:val="single"/>
        </w:rPr>
        <w:tab/>
        <w:tab/>
        <w:tab/>
        <w:tab/>
        <w:tab/>
        <w:tab/>
      </w:r>
      <w:r>
        <w:rPr>
          <w:rFonts w:cs="Times New Roman" w:ascii="Times New Roman" w:hAnsi="Times New Roman"/>
          <w:sz w:val="20"/>
        </w:rPr>
        <w:tab/>
        <w:t>Signature:</w:t>
      </w:r>
      <w:r>
        <w:rPr>
          <w:rFonts w:cs="Times New Roman" w:ascii="Times New Roman" w:hAnsi="Times New Roman"/>
          <w:sz w:val="20"/>
          <w:u w:val="single"/>
        </w:rPr>
        <w:tab/>
        <w:tab/>
        <w:tab/>
        <w:tab/>
        <w:tab/>
      </w:r>
    </w:p>
    <w:p>
      <w:pPr>
        <w:pStyle w:val="Normal"/>
        <w:jc w:val="both"/>
        <w:rPr>
          <w:rFonts w:ascii="Times New Roman" w:hAnsi="Times New Roman" w:cs="Times New Roman"/>
          <w:sz w:val="20"/>
          <w:u w:val="single"/>
        </w:rPr>
      </w:pPr>
      <w:r>
        <w:rPr>
          <w:rFonts w:cs="Times New Roman" w:ascii="Times New Roman" w:hAnsi="Times New Roman"/>
          <w:sz w:val="20"/>
          <w:u w:val="single"/>
        </w:rPr>
      </w:r>
    </w:p>
    <w:p>
      <w:pPr>
        <w:pStyle w:val="Normal"/>
        <w:jc w:val="both"/>
        <w:rPr/>
      </w:pPr>
      <w:r>
        <w:rPr>
          <w:rFonts w:cs="Times New Roman" w:ascii="Times New Roman" w:hAnsi="Times New Roman"/>
          <w:sz w:val="20"/>
        </w:rPr>
        <w:t>Name:</w:t>
      </w:r>
      <w:r>
        <w:rPr>
          <w:rFonts w:cs="Times New Roman" w:ascii="Times New Roman" w:hAnsi="Times New Roman"/>
          <w:sz w:val="20"/>
          <w:u w:val="single"/>
        </w:rPr>
        <w:tab/>
        <w:tab/>
        <w:tab/>
        <w:tab/>
        <w:tab/>
        <w:tab/>
      </w:r>
      <w:r>
        <w:rPr>
          <w:rFonts w:cs="Times New Roman" w:ascii="Times New Roman" w:hAnsi="Times New Roman"/>
          <w:sz w:val="20"/>
        </w:rPr>
        <w:tab/>
        <w:t>Name:</w:t>
      </w:r>
      <w:r>
        <w:rPr>
          <w:rFonts w:cs="Times New Roman" w:ascii="Times New Roman" w:hAnsi="Times New Roman"/>
          <w:sz w:val="20"/>
          <w:u w:val="single"/>
        </w:rPr>
        <w:tab/>
        <w:tab/>
        <w:tab/>
        <w:tab/>
        <w:tab/>
        <w:tab/>
      </w:r>
      <w:r>
        <w:rPr>
          <w:rFonts w:cs="Times New Roman" w:ascii="Times New Roman" w:hAnsi="Times New Roman"/>
          <w:sz w:val="20"/>
        </w:rPr>
        <w:tab/>
      </w:r>
    </w:p>
    <w:p>
      <w:pPr>
        <w:pStyle w:val="Normal"/>
        <w:widowControl/>
        <w:tabs>
          <w:tab w:val="clear" w:pos="720"/>
          <w:tab w:val="left" w:pos="-1080" w:leader="none"/>
        </w:tabs>
        <w:jc w:val="both"/>
        <w:rPr/>
      </w:pPr>
      <w:r>
        <w:rPr>
          <w:rFonts w:cs="Times New Roman" w:ascii="Times New Roman" w:hAnsi="Times New Roman"/>
          <w:sz w:val="20"/>
        </w:rPr>
        <w:t>Title:</w:t>
      </w:r>
      <w:r>
        <w:rPr>
          <w:rFonts w:cs="Times New Roman" w:ascii="Times New Roman" w:hAnsi="Times New Roman"/>
          <w:sz w:val="20"/>
          <w:u w:val="single"/>
        </w:rPr>
        <w:tab/>
        <w:tab/>
        <w:tab/>
        <w:tab/>
        <w:t xml:space="preserve">               </w:t>
        <w:tab/>
      </w:r>
      <w:r>
        <w:rPr>
          <w:rFonts w:cs="Times New Roman" w:ascii="Times New Roman" w:hAnsi="Times New Roman"/>
          <w:sz w:val="20"/>
        </w:rPr>
        <w:tab/>
        <w:t>Title:</w:t>
      </w:r>
      <w:r>
        <w:rPr>
          <w:rFonts w:cs="Times New Roman" w:ascii="Times New Roman" w:hAnsi="Times New Roman"/>
          <w:sz w:val="20"/>
          <w:u w:val="single"/>
        </w:rPr>
        <w:tab/>
        <w:tab/>
        <w:tab/>
        <w:t xml:space="preserve">                  </w:t>
        <w:tab/>
        <w:tab/>
      </w:r>
    </w:p>
    <w:p>
      <w:pPr>
        <w:pStyle w:val="Normal"/>
        <w:widowControl/>
        <w:tabs>
          <w:tab w:val="clear" w:pos="720"/>
          <w:tab w:val="left" w:pos="-1080" w:leader="none"/>
        </w:tabs>
        <w:jc w:val="both"/>
        <w:rPr>
          <w:rFonts w:ascii="Times New Roman" w:hAnsi="Times New Roman" w:cs="Times New Roman"/>
          <w:sz w:val="20"/>
          <w:u w:val="single"/>
        </w:rPr>
      </w:pPr>
      <w:r>
        <w:rPr>
          <w:rFonts w:cs="Times New Roman" w:ascii="Times New Roman" w:hAnsi="Times New Roman"/>
          <w:sz w:val="20"/>
          <w:u w:val="single"/>
        </w:rPr>
      </w:r>
    </w:p>
    <w:p>
      <w:pPr>
        <w:pStyle w:val="Normal"/>
        <w:widowControl/>
        <w:tabs>
          <w:tab w:val="clear" w:pos="720"/>
          <w:tab w:val="left" w:pos="-1080" w:leader="none"/>
        </w:tabs>
        <w:jc w:val="both"/>
        <w:rPr>
          <w:rFonts w:ascii="Times New Roman" w:hAnsi="Times New Roman" w:cs="Times New Roman"/>
          <w:sz w:val="20"/>
        </w:rPr>
      </w:pPr>
      <w:r>
        <w:rPr>
          <w:rFonts w:cs="Times New Roman" w:ascii="Times New Roman" w:hAnsi="Times New Roman"/>
          <w:sz w:val="20"/>
          <w:u w:val="single"/>
        </w:rPr>
        <w:t>Date: ______________________________________</w:t>
        <w:tab/>
        <w:tab/>
        <w:t>Date: ______________________________________</w:t>
      </w:r>
    </w:p>
    <w:p>
      <w:pPr>
        <w:pStyle w:val="Normal"/>
        <w:widowControl/>
        <w:tabs>
          <w:tab w:val="clear" w:pos="720"/>
          <w:tab w:val="left" w:pos="2160" w:leader="none"/>
        </w:tabs>
        <w:rPr/>
      </w:pPr>
      <w:r>
        <w:rPr/>
        <w:tab/>
        <w:tab/>
        <w:tab/>
      </w:r>
    </w:p>
    <w:p>
      <w:pPr>
        <w:pStyle w:val="Normal"/>
        <w:widowControl/>
        <w:tabs>
          <w:tab w:val="clear" w:pos="720"/>
          <w:tab w:val="left" w:pos="2160" w:leader="none"/>
        </w:tabs>
        <w:rPr/>
      </w:pPr>
      <w:r>
        <w:rPr/>
        <w:tab/>
        <w:tab/>
      </w:r>
    </w:p>
    <w:sectPr>
      <w:headerReference w:type="default" r:id="rId2"/>
      <w:headerReference w:type="first" r:id="rId3"/>
      <w:footerReference w:type="default" r:id="rId4"/>
      <w:footerReference w:type="first" r:id="rId5"/>
      <w:type w:val="nextPage"/>
      <w:pgSz w:w="12240" w:h="15840"/>
      <w:pgMar w:left="1440" w:right="1440" w:gutter="0" w:header="720" w:top="108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0"/>
      </w:rPr>
      <w:t xml:space="preserve">- </w:t>
    </w:r>
    <w:r>
      <w:rPr>
        <w:sz w:val="20"/>
      </w:rPr>
      <w:fldChar w:fldCharType="begin"/>
    </w:r>
    <w:r>
      <w:rPr>
        <w:sz w:val="20"/>
      </w:rPr>
      <w:instrText xml:space="preserve"> PAGE \* ARABIC </w:instrText>
    </w:r>
    <w:r>
      <w:rPr>
        <w:sz w:val="20"/>
      </w:rPr>
      <w:fldChar w:fldCharType="separate"/>
    </w:r>
    <w:r>
      <w:rPr>
        <w:sz w:val="20"/>
      </w:rPr>
      <w:t>3</w:t>
    </w:r>
    <w:r>
      <w:rPr>
        <w:sz w:val="20"/>
      </w:rPr>
      <w:fldChar w:fldCharType="end"/>
    </w:r>
    <w:r>
      <w:rPr>
        <w:sz w:val="20"/>
      </w:rPr>
      <w:t xml:space="preserve"> -</w:t>
    </w:r>
  </w:p>
  <w:p>
    <w:pPr>
      <w:pStyle w:val="Footer"/>
      <w:widowControl/>
      <w:jc w:val="cen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rPr>
    </w:pPr>
    <w:r>
      <w:rPr>
        <w:b/>
        <w:bCs/>
        <w:i/>
        <w:iCs/>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Palatino" w:hAnsi="Palatino" w:eastAsia="Times New Roman" w:cs="Palatino"/>
      <w:color w:val="auto"/>
      <w:sz w:val="24"/>
      <w:szCs w:val="20"/>
      <w:lang w:val="en-US" w:bidi="ar-SA" w:eastAsia="zh-CN"/>
    </w:rPr>
  </w:style>
  <w:style w:type="character" w:styleId="WW8Num1z0">
    <w:name w:val="WW8Num1z0"/>
    <w:qFormat/>
    <w:rPr>
      <w:rFonts w:ascii="Palatino" w:hAnsi="Palatino" w:cs="Palatino"/>
      <w:b w:val="false"/>
      <w:i w:val="false"/>
      <w:sz w:val="24"/>
      <w:u w:val="none"/>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widowControl/>
      <w:jc w:val="both"/>
    </w:pPr>
    <w:rPr>
      <w:rFonts w:ascii="Times New Roman" w:hAnsi="Times New Roman" w:cs="Times New Roman"/>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clear" w:pos="720"/>
        <w:tab w:val="left" w:pos="1440" w:leader="none"/>
        <w:tab w:val="left" w:pos="2160" w:leader="none"/>
      </w:tabs>
      <w:ind w:hanging="720" w:start="1440" w:end="0"/>
      <w:jc w:val="both"/>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2001-06-07T21:26:00Z</dcterms:created>
  <dc:creator>Ronnie Fallon</dc:creator>
  <dc:description/>
  <dc:language>en-CA</dc:language>
  <cp:lastModifiedBy>mgreenbe</cp:lastModifiedBy>
  <cp:lastPrinted>1999-06-21T09:08:00Z</cp:lastPrinted>
  <dcterms:modified xsi:type="dcterms:W3CDTF">2001-06-07T21:27:00Z</dcterms:modified>
  <cp:revision>3</cp:revision>
  <dc:subject/>
  <dc:title>En.able Confid.</dc:title>
</cp:coreProperties>
</file>