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November ______,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Mr. William E. Popp</w:t>
      </w:r>
    </w:p>
    <w:p>
      <w:pPr>
        <w:pStyle w:val="Normal"/>
        <w:jc w:val="both"/>
        <w:rPr>
          <w:rFonts w:ascii="Times New Roman" w:hAnsi="Times New Roman" w:cs="Times New Roman"/>
          <w:sz w:val="22"/>
        </w:rPr>
      </w:pPr>
      <w:r>
        <w:rPr>
          <w:rFonts w:cs="Times New Roman" w:ascii="Times New Roman" w:hAnsi="Times New Roman"/>
          <w:sz w:val="22"/>
        </w:rPr>
        <w:t>SunGard Trading &amp; Risk Systems ____</w:t>
      </w:r>
    </w:p>
    <w:p>
      <w:pPr>
        <w:pStyle w:val="Normal"/>
        <w:jc w:val="both"/>
        <w:rPr>
          <w:rFonts w:ascii="Times New Roman" w:hAnsi="Times New Roman" w:cs="Times New Roman"/>
          <w:sz w:val="22"/>
        </w:rPr>
      </w:pPr>
      <w:r>
        <w:rPr>
          <w:rFonts w:cs="Times New Roman" w:ascii="Times New Roman" w:hAnsi="Times New Roman"/>
          <w:sz w:val="22"/>
        </w:rPr>
        <w:t>28 Sunnyrock Drive</w:t>
      </w:r>
    </w:p>
    <w:p>
      <w:pPr>
        <w:pStyle w:val="Normal"/>
        <w:jc w:val="both"/>
        <w:rPr>
          <w:rFonts w:ascii="Times New Roman" w:hAnsi="Times New Roman" w:cs="Times New Roman"/>
          <w:sz w:val="22"/>
        </w:rPr>
      </w:pPr>
      <w:r>
        <w:rPr>
          <w:rFonts w:cs="Times New Roman" w:ascii="Times New Roman" w:hAnsi="Times New Roman"/>
          <w:sz w:val="22"/>
        </w:rPr>
        <w:t>Walpole, MA 02081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Popp:</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Net Works LLC and EnronOnline, LLC (collectively, the "Protected Party") and their affiliates are prepared to furnish you with certain information which is either confidential, proprietary or otherwise not generally available to the public in connection with a potential transaction or other business relationship involving the EnronOnline eMarketplace platform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You and Protected Party agree that no employment, agency, joint venture, partnership or fiduciary relationship shall be deemed to exist or arise with respect to this agreement or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numPr>
          <w:ilvl w:val="0"/>
          <w:numId w:val="3"/>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First Steps</w:t>
      </w:r>
      <w:r>
        <w:rPr>
          <w:rFonts w:cs="Times New Roman" w:ascii="Times New Roman" w:hAnsi="Times New Roman"/>
          <w:sz w:val="22"/>
        </w:rPr>
        <w:t>.  As a means of moving discussions forward, attached as Schedule A is an outline of proposed “First Steps” between the parties.  These First Steps detail actions to be undertaken by you to obtain from the Protected Party the necessary Confidential Information with which to determine whether or not we collectively move toward a Transaction.  If it is determined that a Transaction is to be pursued, neither you nor the Protected Party will have any obligations under this Agreement, except as specifically set forth in Schedule A, until such time as a definitive agreement in relation to the Transaction, mutually acceptable to both you and the Protected Party, has been executed.  Any modifications or changes to Schedule A must be agreed to by you and the Protected Party in a written instrument signed by an appropriate officer.</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pPr>
      <w:r>
        <w:rPr>
          <w:rFonts w:cs="Times New Roman" w:ascii="Times New Roman" w:hAnsi="Times New Roman"/>
          <w:sz w:val="24"/>
        </w:rPr>
        <w:t>E</w:t>
      </w:r>
      <w:r>
        <w:rPr>
          <w:rFonts w:cs="Times New Roman" w:ascii="Times New Roman" w:hAnsi="Times New Roman"/>
          <w:sz w:val="22"/>
        </w:rPr>
        <w:t>NRON</w:t>
      </w:r>
      <w:r>
        <w:rPr>
          <w:rFonts w:cs="Times New Roman" w:ascii="Times New Roman" w:hAnsi="Times New Roman"/>
          <w:sz w:val="24"/>
        </w:rPr>
        <w:t>O</w:t>
      </w:r>
      <w:r>
        <w:rPr>
          <w:rFonts w:cs="Times New Roman" w:ascii="Times New Roman" w:hAnsi="Times New Roman"/>
          <w:sz w:val="22"/>
        </w:rPr>
        <w:t>NLINE,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4"/>
        </w:rPr>
        <w:t>SunGard Trading &amp; Risk Systems</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r>
        <w:br w:type="page"/>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center"/>
        <w:rPr>
          <w:rFonts w:ascii="Times New Roman" w:hAnsi="Times New Roman" w:cs="Times New Roman"/>
          <w:b/>
          <w:bCs/>
          <w:sz w:val="22"/>
          <w:u w:val="single"/>
        </w:rPr>
      </w:pPr>
      <w:r>
        <w:rPr>
          <w:rFonts w:cs="Times New Roman" w:ascii="Times New Roman" w:hAnsi="Times New Roman"/>
          <w:b/>
          <w:bCs/>
          <w:sz w:val="22"/>
          <w:u w:val="single"/>
        </w:rPr>
        <w:t>Schedule A</w:t>
      </w:r>
    </w:p>
    <w:p>
      <w:pPr>
        <w:pStyle w:val="Normal"/>
        <w:keepNext w:val="true"/>
        <w:spacing w:before="0" w:after="120"/>
        <w:jc w:val="center"/>
        <w:rPr>
          <w:rFonts w:ascii="Times New Roman" w:hAnsi="Times New Roman" w:cs="Times New Roman"/>
          <w:sz w:val="22"/>
          <w:u w:val="single"/>
        </w:rPr>
      </w:pPr>
      <w:r>
        <w:rPr>
          <w:rFonts w:cs="Times New Roman" w:ascii="Times New Roman" w:hAnsi="Times New Roman"/>
          <w:sz w:val="22"/>
          <w:u w:val="single"/>
        </w:rPr>
        <w:t>First Steps</w:t>
      </w:r>
    </w:p>
    <w:p>
      <w:pPr>
        <w:pStyle w:val="Normal"/>
        <w:keepNext w:val="true"/>
        <w:jc w:val="both"/>
        <w:rPr>
          <w:rFonts w:ascii="Times New Roman" w:hAnsi="Times New Roman" w:cs="Times New Roman"/>
          <w:sz w:val="22"/>
          <w:u w:val="single"/>
        </w:rPr>
      </w:pPr>
      <w:r>
        <w:rPr>
          <w:rFonts w:cs="Times New Roman" w:ascii="Times New Roman" w:hAnsi="Times New Roman"/>
          <w:sz w:val="22"/>
          <w:u w:val="single"/>
        </w:rPr>
      </w:r>
    </w:p>
    <w:p>
      <w:pPr>
        <w:pStyle w:val="Normal"/>
        <w:jc w:val="both"/>
        <w:rPr>
          <w:rFonts w:ascii="Times New Roman" w:hAnsi="Times New Roman" w:cs="Times New Roman"/>
          <w:sz w:val="22"/>
        </w:rPr>
      </w:pPr>
      <w:r>
        <w:rPr>
          <w:rFonts w:cs="Times New Roman" w:ascii="Times New Roman" w:hAnsi="Times New Roman"/>
          <w:sz w:val="22"/>
        </w:rPr>
        <w:t>To more fully understand the current position of Enron (i.e., its systems, people, product(s), market, sales, etc.) and to quickly identify high impact areas where you can help, meetings will be scheduled for two to three days in Houston, Texas, beginning on Wednesday, November 7, 2001 and concluding on Friday, November 9, 2001.  During this period, you will meet and spend significant time with individuals in the following areas:</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720" w:end="0"/>
        <w:jc w:val="both"/>
        <w:rPr>
          <w:rFonts w:ascii="Times New Roman" w:hAnsi="Times New Roman" w:cs="Times New Roman"/>
          <w:i/>
          <w:i/>
          <w:sz w:val="22"/>
        </w:rPr>
      </w:pPr>
      <w:r>
        <w:rPr>
          <w:rFonts w:cs="Times New Roman" w:ascii="Times New Roman" w:hAnsi="Times New Roman"/>
          <w:i/>
          <w:sz w:val="22"/>
        </w:rPr>
        <w:t>Responsible Sales</w:t>
      </w:r>
    </w:p>
    <w:p>
      <w:pPr>
        <w:pStyle w:val="Normal"/>
        <w:ind w:start="720" w:end="0"/>
        <w:jc w:val="both"/>
        <w:rPr>
          <w:rFonts w:ascii="Times New Roman" w:hAnsi="Times New Roman" w:cs="Times New Roman"/>
          <w:i/>
          <w:i/>
          <w:sz w:val="22"/>
        </w:rPr>
      </w:pPr>
      <w:r>
        <w:rPr>
          <w:rFonts w:cs="Times New Roman" w:ascii="Times New Roman" w:hAnsi="Times New Roman"/>
          <w:i/>
          <w:sz w:val="22"/>
        </w:rPr>
        <w:t>Responsible Marketing</w:t>
      </w:r>
    </w:p>
    <w:p>
      <w:pPr>
        <w:pStyle w:val="Normal"/>
        <w:ind w:start="720" w:end="0"/>
        <w:jc w:val="both"/>
        <w:rPr>
          <w:rFonts w:ascii="Times New Roman" w:hAnsi="Times New Roman" w:cs="Times New Roman"/>
          <w:i/>
          <w:i/>
          <w:sz w:val="22"/>
        </w:rPr>
      </w:pPr>
      <w:r>
        <w:rPr>
          <w:rFonts w:cs="Times New Roman" w:ascii="Times New Roman" w:hAnsi="Times New Roman"/>
          <w:i/>
          <w:sz w:val="22"/>
        </w:rPr>
        <w:t>Responsible Development</w:t>
      </w:r>
    </w:p>
    <w:p>
      <w:pPr>
        <w:pStyle w:val="Normal"/>
        <w:ind w:start="720" w:end="0"/>
        <w:jc w:val="both"/>
        <w:rPr>
          <w:rFonts w:ascii="Times New Roman" w:hAnsi="Times New Roman" w:cs="Times New Roman"/>
          <w:i/>
          <w:i/>
          <w:sz w:val="22"/>
        </w:rPr>
      </w:pPr>
      <w:r>
        <w:rPr>
          <w:rFonts w:cs="Times New Roman" w:ascii="Times New Roman" w:hAnsi="Times New Roman"/>
          <w:i/>
          <w:sz w:val="22"/>
        </w:rPr>
        <w:t>Responsible Delivery</w:t>
      </w:r>
    </w:p>
    <w:p>
      <w:pPr>
        <w:pStyle w:val="Normal"/>
        <w:ind w:start="720" w:end="0"/>
        <w:jc w:val="both"/>
        <w:rPr>
          <w:rFonts w:ascii="Times New Roman" w:hAnsi="Times New Roman" w:cs="Times New Roman"/>
          <w:i/>
          <w:i/>
          <w:sz w:val="22"/>
        </w:rPr>
      </w:pPr>
      <w:r>
        <w:rPr>
          <w:rFonts w:cs="Times New Roman" w:ascii="Times New Roman" w:hAnsi="Times New Roman"/>
          <w:i/>
          <w:sz w:val="22"/>
        </w:rPr>
        <w:t>Responsible Operations (Support, Maintenance, Billing etc)</w:t>
      </w:r>
    </w:p>
    <w:p>
      <w:pPr>
        <w:pStyle w:val="Normal"/>
        <w:ind w:start="720" w:end="0"/>
        <w:jc w:val="both"/>
        <w:rPr>
          <w:rFonts w:ascii="Times New Roman" w:hAnsi="Times New Roman" w:cs="Times New Roman"/>
          <w:i/>
          <w:i/>
          <w:sz w:val="22"/>
        </w:rPr>
      </w:pPr>
      <w:r>
        <w:rPr>
          <w:rFonts w:cs="Times New Roman" w:ascii="Times New Roman" w:hAnsi="Times New Roman"/>
          <w:i/>
          <w:sz w:val="22"/>
        </w:rPr>
        <w:t>Responsible Overall</w:t>
      </w:r>
    </w:p>
    <w:p>
      <w:pPr>
        <w:pStyle w:val="Normal"/>
        <w:ind w:start="720" w:end="0"/>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sz w:val="22"/>
        </w:rPr>
      </w:pPr>
      <w:r>
        <w:rPr>
          <w:rFonts w:cs="Times New Roman" w:ascii="Times New Roman" w:hAnsi="Times New Roman"/>
          <w:sz w:val="22"/>
        </w:rPr>
        <w:t>These meetings will include specific meetings with:</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start="1440" w:end="0"/>
        <w:jc w:val="both"/>
        <w:rPr>
          <w:rFonts w:ascii="Times New Roman" w:hAnsi="Times New Roman" w:cs="Times New Roman"/>
          <w:sz w:val="22"/>
        </w:rPr>
      </w:pPr>
      <w:r>
        <w:rPr>
          <w:rFonts w:cs="Times New Roman" w:ascii="Times New Roman" w:hAnsi="Times New Roman"/>
          <w:sz w:val="22"/>
        </w:rPr>
        <w:t>Greg Piper, Brad Richter, Rex Shelby, Brandon Wax, Jay Webb</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The initial meeting agenda will be fairly structured so that valuable time can be spent with each of the key parties.  Non-structured time will also be scheduled and, within certain constraints, Enron employees will be generally available.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You have planned to review the following general areas during your Houston visit:</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5"/>
        </w:numPr>
        <w:jc w:val="both"/>
        <w:rPr>
          <w:rFonts w:ascii="Times New Roman" w:hAnsi="Times New Roman" w:cs="Times New Roman"/>
          <w:b/>
          <w:sz w:val="22"/>
        </w:rPr>
      </w:pPr>
      <w:r>
        <w:rPr>
          <w:rFonts w:cs="Times New Roman" w:ascii="Times New Roman" w:hAnsi="Times New Roman"/>
          <w:b/>
          <w:sz w:val="22"/>
        </w:rPr>
        <w:t>Business</w:t>
      </w:r>
    </w:p>
    <w:p>
      <w:pPr>
        <w:pStyle w:val="Heading1"/>
        <w:numPr>
          <w:ilvl w:val="0"/>
          <w:numId w:val="4"/>
        </w:numPr>
        <w:jc w:val="both"/>
        <w:rPr>
          <w:rFonts w:ascii="Times New Roman" w:hAnsi="Times New Roman" w:cs="Times New Roman"/>
          <w:b w:val="false"/>
          <w:bCs/>
          <w:sz w:val="22"/>
        </w:rPr>
      </w:pPr>
      <w:r>
        <w:rPr>
          <w:rFonts w:cs="Times New Roman" w:ascii="Times New Roman" w:hAnsi="Times New Roman"/>
          <w:b w:val="false"/>
          <w:bCs/>
          <w:caps w:val="false"/>
          <w:smallCaps w:val="false"/>
          <w:sz w:val="22"/>
        </w:rPr>
        <w:t>Including review of business model and  financial model</w:t>
      </w:r>
    </w:p>
    <w:p>
      <w:pPr>
        <w:pStyle w:val="Bullet1"/>
        <w:numPr>
          <w:ilvl w:val="0"/>
          <w:numId w:val="5"/>
        </w:numPr>
        <w:ind w:hanging="0" w:start="0"/>
        <w:rPr>
          <w:sz w:val="22"/>
        </w:rPr>
      </w:pPr>
      <w:r>
        <w:rPr>
          <w:sz w:val="22"/>
        </w:rPr>
        <w:t>Sales and Marketing</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jc w:val="both"/>
        <w:rPr>
          <w:rFonts w:ascii="Times New Roman" w:hAnsi="Times New Roman" w:cs="Times New Roman"/>
          <w:sz w:val="22"/>
        </w:rPr>
      </w:pPr>
      <w:r>
        <w:rPr>
          <w:rFonts w:cs="Times New Roman" w:ascii="Times New Roman" w:hAnsi="Times New Roman"/>
          <w:sz w:val="22"/>
        </w:rPr>
        <w:t>What is the offering, industry vertical, regional markets, positioning, components (functional building blocks) and of course, pricing.</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jc w:val="both"/>
        <w:rPr>
          <w:rFonts w:ascii="Times New Roman" w:hAnsi="Times New Roman" w:cs="Times New Roman"/>
          <w:sz w:val="22"/>
        </w:rPr>
      </w:pPr>
      <w:r>
        <w:rPr>
          <w:rFonts w:cs="Times New Roman" w:ascii="Times New Roman" w:hAnsi="Times New Roman"/>
          <w:sz w:val="22"/>
        </w:rPr>
        <w:t>Identify the uniqueness, sales proposition, High Value ‘Uniques’, competitive Alternatives</w:t>
      </w:r>
    </w:p>
    <w:p>
      <w:pPr>
        <w:pStyle w:val="Bullet3"/>
        <w:numPr>
          <w:ilvl w:val="0"/>
          <w:numId w:val="0"/>
        </w:numPr>
        <w:ind w:hanging="0" w:start="720" w:end="0"/>
        <w:rPr>
          <w:rFonts w:ascii="Times New Roman" w:hAnsi="Times New Roman" w:cs="Times New Roman"/>
          <w:sz w:val="22"/>
        </w:rPr>
      </w:pPr>
      <w:r>
        <w:rPr>
          <w:rFonts w:cs="Times New Roman"/>
          <w:sz w:val="22"/>
        </w:rPr>
      </w:r>
    </w:p>
    <w:p>
      <w:pPr>
        <w:pStyle w:val="Bullet2"/>
        <w:numPr>
          <w:ilvl w:val="0"/>
          <w:numId w:val="4"/>
        </w:numPr>
        <w:ind w:hanging="0" w:start="0"/>
        <w:rPr>
          <w:sz w:val="22"/>
          <w:u w:val="none"/>
        </w:rPr>
      </w:pPr>
      <w:r>
        <w:rPr>
          <w:sz w:val="22"/>
          <w:u w:val="none"/>
        </w:rPr>
        <w:t>Examine sales support, demo system and style, PowerPoint, white papers, marketing collateral, client references etc.</w:t>
      </w:r>
    </w:p>
    <w:p>
      <w:pPr>
        <w:pStyle w:val="Bullet3"/>
        <w:numPr>
          <w:ilvl w:val="0"/>
          <w:numId w:val="0"/>
        </w:numPr>
        <w:ind w:hanging="0" w:start="720" w:end="0"/>
        <w:rPr>
          <w:sz w:val="22"/>
          <w:u w:val="none"/>
        </w:rPr>
      </w:pPr>
      <w:r>
        <w:rPr>
          <w:sz w:val="22"/>
          <w:u w:val="none"/>
        </w:rPr>
      </w:r>
    </w:p>
    <w:p>
      <w:pPr>
        <w:pStyle w:val="Normal"/>
        <w:numPr>
          <w:ilvl w:val="0"/>
          <w:numId w:val="4"/>
        </w:numPr>
        <w:jc w:val="both"/>
        <w:rPr>
          <w:rFonts w:ascii="Times New Roman" w:hAnsi="Times New Roman" w:cs="Times New Roman"/>
          <w:sz w:val="22"/>
        </w:rPr>
      </w:pPr>
      <w:r>
        <w:rPr>
          <w:rFonts w:cs="Times New Roman" w:ascii="Times New Roman" w:hAnsi="Times New Roman"/>
          <w:sz w:val="22"/>
        </w:rPr>
        <w:t>Walk through sales model, suspect to prospect, coach, technical buyer, economic buyer, gatekeeper, stated client reasons as to why they want proposal.</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4"/>
        </w:numPr>
        <w:jc w:val="both"/>
        <w:rPr>
          <w:rFonts w:ascii="Times New Roman" w:hAnsi="Times New Roman" w:cs="Times New Roman"/>
          <w:sz w:val="22"/>
        </w:rPr>
      </w:pPr>
      <w:r>
        <w:rPr>
          <w:rFonts w:cs="Times New Roman" w:ascii="Times New Roman" w:hAnsi="Times New Roman"/>
          <w:sz w:val="22"/>
        </w:rPr>
        <w:t>Staffing, sales, pre-sales, current vs expected, financial considerations (today, projected)</w:t>
      </w:r>
    </w:p>
    <w:p>
      <w:pPr>
        <w:pStyle w:val="Bullet3"/>
        <w:numPr>
          <w:ilvl w:val="0"/>
          <w:numId w:val="0"/>
        </w:numPr>
        <w:ind w:hanging="0" w:start="720" w:end="0"/>
        <w:rPr>
          <w:rFonts w:ascii="Times New Roman" w:hAnsi="Times New Roman" w:cs="Times New Roman"/>
          <w:sz w:val="22"/>
        </w:rPr>
      </w:pPr>
      <w:r>
        <w:rPr>
          <w:rFonts w:cs="Times New Roman"/>
          <w:sz w:val="22"/>
        </w:rPr>
      </w:r>
    </w:p>
    <w:p>
      <w:pPr>
        <w:pStyle w:val="Bullet1"/>
        <w:numPr>
          <w:ilvl w:val="0"/>
          <w:numId w:val="0"/>
        </w:numPr>
        <w:ind w:hanging="0" w:start="0"/>
        <w:rPr>
          <w:sz w:val="22"/>
        </w:rPr>
      </w:pPr>
      <w:r>
        <w:rPr>
          <w:sz w:val="22"/>
        </w:rPr>
      </w:r>
    </w:p>
    <w:p>
      <w:pPr>
        <w:pStyle w:val="Bullet1"/>
        <w:numPr>
          <w:ilvl w:val="0"/>
          <w:numId w:val="5"/>
        </w:numPr>
        <w:ind w:hanging="0" w:start="0"/>
        <w:rPr>
          <w:sz w:val="22"/>
        </w:rPr>
      </w:pPr>
      <w:r>
        <w:rPr>
          <w:sz w:val="22"/>
        </w:rPr>
        <w:t>Operations</w:t>
      </w:r>
    </w:p>
    <w:p>
      <w:pPr>
        <w:pStyle w:val="Bullet1"/>
        <w:numPr>
          <w:ilvl w:val="0"/>
          <w:numId w:val="0"/>
        </w:numPr>
        <w:ind w:hanging="0" w:start="0"/>
        <w:rPr>
          <w:sz w:val="22"/>
        </w:rPr>
      </w:pPr>
      <w:r>
        <w:rPr>
          <w:sz w:val="22"/>
        </w:rPr>
      </w:r>
    </w:p>
    <w:p>
      <w:pPr>
        <w:pStyle w:val="Bullet2"/>
        <w:numPr>
          <w:ilvl w:val="0"/>
          <w:numId w:val="4"/>
        </w:numPr>
        <w:ind w:hanging="0" w:start="0"/>
        <w:rPr>
          <w:sz w:val="22"/>
          <w:u w:val="none"/>
        </w:rPr>
      </w:pPr>
      <w:r>
        <w:rPr>
          <w:sz w:val="22"/>
          <w:u w:val="none"/>
        </w:rPr>
        <w:t>Current operating commitments, client commitments – what has been committed by who to who, when ?, How is Enron (internal client) managed alongside external clients</w:t>
      </w:r>
    </w:p>
    <w:p>
      <w:pPr>
        <w:pStyle w:val="Bullet3"/>
        <w:numPr>
          <w:ilvl w:val="0"/>
          <w:numId w:val="0"/>
        </w:numPr>
        <w:ind w:hanging="0" w:start="720" w:end="0"/>
        <w:rPr>
          <w:sz w:val="22"/>
          <w:u w:val="none"/>
        </w:rPr>
      </w:pPr>
      <w:r>
        <w:rPr>
          <w:sz w:val="22"/>
          <w:u w:val="none"/>
        </w:rPr>
      </w:r>
    </w:p>
    <w:p>
      <w:pPr>
        <w:pStyle w:val="Bullet2"/>
        <w:numPr>
          <w:ilvl w:val="0"/>
          <w:numId w:val="4"/>
        </w:numPr>
        <w:ind w:hanging="0" w:start="0"/>
        <w:rPr>
          <w:sz w:val="22"/>
          <w:u w:val="none"/>
        </w:rPr>
      </w:pPr>
      <w:r>
        <w:rPr>
          <w:sz w:val="22"/>
          <w:u w:val="none"/>
        </w:rPr>
        <w:t>Product development lifecycle, product management (including client requests), specification,  development, testing, quality assurance, documentation, release management (inc. interim patch release) etc.</w:t>
      </w:r>
    </w:p>
    <w:p>
      <w:pPr>
        <w:pStyle w:val="Normal"/>
        <w:ind w:start="720" w:end="0"/>
        <w:jc w:val="both"/>
        <w:rPr>
          <w:rFonts w:ascii="Times New Roman" w:hAnsi="Times New Roman" w:cs="Times New Roman"/>
          <w:sz w:val="22"/>
          <w:u w:val="none"/>
        </w:rPr>
      </w:pPr>
      <w:r>
        <w:rPr>
          <w:rFonts w:cs="Times New Roman" w:ascii="Times New Roman" w:hAnsi="Times New Roman"/>
          <w:sz w:val="22"/>
          <w:u w:val="none"/>
        </w:rPr>
      </w:r>
    </w:p>
    <w:p>
      <w:pPr>
        <w:pStyle w:val="Bullet2"/>
        <w:numPr>
          <w:ilvl w:val="0"/>
          <w:numId w:val="4"/>
        </w:numPr>
        <w:ind w:hanging="0" w:start="0"/>
        <w:rPr>
          <w:sz w:val="22"/>
          <w:u w:val="none"/>
        </w:rPr>
      </w:pPr>
      <w:r>
        <w:rPr>
          <w:sz w:val="22"/>
          <w:u w:val="none"/>
        </w:rPr>
        <w:t>Implementation, professional services, sales cut-over,  what is chargeable, what is free, project management, methodology, staffing levels, us vs. client, critical success factors,  milestones,  how long does it take, how to manage client through to “referenceable”, Overall staffing requirement, pool, bench, draw from development</w:t>
      </w:r>
    </w:p>
    <w:p>
      <w:pPr>
        <w:pStyle w:val="Normal"/>
        <w:ind w:start="720" w:end="0"/>
        <w:jc w:val="both"/>
        <w:rPr>
          <w:rFonts w:ascii="Times New Roman" w:hAnsi="Times New Roman" w:cs="Times New Roman"/>
          <w:sz w:val="22"/>
          <w:u w:val="none"/>
        </w:rPr>
      </w:pPr>
      <w:r>
        <w:rPr>
          <w:rFonts w:cs="Times New Roman" w:ascii="Times New Roman" w:hAnsi="Times New Roman"/>
          <w:sz w:val="22"/>
          <w:u w:val="none"/>
        </w:rPr>
      </w:r>
    </w:p>
    <w:p>
      <w:pPr>
        <w:pStyle w:val="Normal"/>
        <w:ind w:start="720" w:end="0"/>
        <w:jc w:val="both"/>
        <w:rPr>
          <w:rFonts w:ascii="Times New Roman" w:hAnsi="Times New Roman" w:cs="Times New Roman"/>
          <w:sz w:val="22"/>
        </w:rPr>
      </w:pPr>
      <w:r>
        <w:rPr>
          <w:rFonts w:cs="Times New Roman" w:ascii="Times New Roman" w:hAnsi="Times New Roman"/>
          <w:sz w:val="22"/>
        </w:rPr>
        <w:tab/>
      </w:r>
    </w:p>
    <w:p>
      <w:pPr>
        <w:pStyle w:val="Bullet1"/>
        <w:numPr>
          <w:ilvl w:val="0"/>
          <w:numId w:val="5"/>
        </w:numPr>
        <w:ind w:hanging="0" w:start="0"/>
        <w:rPr>
          <w:sz w:val="22"/>
        </w:rPr>
      </w:pPr>
      <w:r>
        <w:rPr>
          <w:sz w:val="22"/>
        </w:rPr>
        <w:t>Overhead and Infrastructure</w:t>
      </w:r>
    </w:p>
    <w:p>
      <w:pPr>
        <w:pStyle w:val="Bullet3"/>
        <w:numPr>
          <w:ilvl w:val="0"/>
          <w:numId w:val="0"/>
        </w:numPr>
        <w:ind w:hanging="0" w:start="360" w:end="0"/>
        <w:rPr>
          <w:sz w:val="22"/>
        </w:rPr>
      </w:pPr>
      <w:r>
        <w:rPr>
          <w:sz w:val="22"/>
        </w:rPr>
      </w:r>
    </w:p>
    <w:p>
      <w:pPr>
        <w:pStyle w:val="Bullet3"/>
        <w:numPr>
          <w:ilvl w:val="0"/>
          <w:numId w:val="2"/>
        </w:numPr>
        <w:tabs>
          <w:tab w:val="left" w:pos="720" w:leader="none"/>
        </w:tabs>
        <w:ind w:hanging="360" w:start="720" w:end="0"/>
        <w:rPr>
          <w:sz w:val="22"/>
        </w:rPr>
      </w:pPr>
      <w:r>
        <w:rPr>
          <w:sz w:val="22"/>
        </w:rPr>
        <w:t>This will include accounting, organization chart, executive responsibility, management team, roles, overhead charges, level of autonomy, decision flow, existing and expected team, level of funding or “bootstrap”</w:t>
      </w:r>
    </w:p>
    <w:p>
      <w:pPr>
        <w:pStyle w:val="Normal"/>
        <w:jc w:val="both"/>
        <w:rPr>
          <w:rFonts w:ascii="Times New Roman" w:hAnsi="Times New Roman" w:cs="Times New Roman"/>
          <w:sz w:val="22"/>
        </w:rPr>
      </w:pPr>
      <w:r>
        <w:rPr>
          <w:rFonts w:cs="Times New Roman" w:ascii="Times New Roman" w:hAnsi="Times New Roman"/>
          <w:sz w:val="22"/>
        </w:rPr>
      </w:r>
    </w:p>
    <w:p>
      <w:pPr>
        <w:pStyle w:val="Bullet1"/>
        <w:numPr>
          <w:ilvl w:val="0"/>
          <w:numId w:val="5"/>
        </w:numPr>
        <w:ind w:hanging="0" w:start="0"/>
        <w:rPr>
          <w:sz w:val="22"/>
        </w:rPr>
      </w:pPr>
      <w:r>
        <w:rPr>
          <w:sz w:val="22"/>
        </w:rPr>
        <w:t>Enron as EOL client</w:t>
      </w:r>
    </w:p>
    <w:p>
      <w:pPr>
        <w:pStyle w:val="Bullet3"/>
        <w:numPr>
          <w:ilvl w:val="0"/>
          <w:numId w:val="2"/>
        </w:numPr>
        <w:tabs>
          <w:tab w:val="left" w:pos="720" w:leader="none"/>
        </w:tabs>
        <w:ind w:hanging="360" w:start="720" w:end="0"/>
        <w:rPr>
          <w:sz w:val="22"/>
        </w:rPr>
      </w:pPr>
      <w:r>
        <w:rPr>
          <w:sz w:val="22"/>
        </w:rPr>
        <w:t>Change to profit center, current and future expectations for billing, response times etc. business model, interface with other customers</w:t>
      </w:r>
    </w:p>
    <w:p>
      <w:pPr>
        <w:pStyle w:val="Normal"/>
        <w:ind w:start="360" w:end="0"/>
        <w:jc w:val="both"/>
        <w:rPr>
          <w:rFonts w:ascii="Times New Roman" w:hAnsi="Times New Roman" w:cs="Times New Roman"/>
          <w:sz w:val="22"/>
        </w:rPr>
      </w:pPr>
      <w:r>
        <w:rPr>
          <w:rFonts w:cs="Times New Roman" w:ascii="Times New Roman" w:hAnsi="Times New Roman"/>
          <w:sz w:val="22"/>
        </w:rPr>
      </w:r>
    </w:p>
    <w:p>
      <w:pPr>
        <w:pStyle w:val="Bullet1"/>
        <w:numPr>
          <w:ilvl w:val="0"/>
          <w:numId w:val="5"/>
        </w:numPr>
        <w:ind w:hanging="0" w:start="0"/>
        <w:rPr>
          <w:sz w:val="22"/>
        </w:rPr>
      </w:pPr>
      <w:r>
        <w:rPr>
          <w:sz w:val="22"/>
        </w:rPr>
        <w:t>Measures of success</w:t>
      </w:r>
    </w:p>
    <w:p>
      <w:pPr>
        <w:pStyle w:val="Bullet3"/>
        <w:numPr>
          <w:ilvl w:val="0"/>
          <w:numId w:val="2"/>
        </w:numPr>
        <w:tabs>
          <w:tab w:val="left" w:pos="720" w:leader="none"/>
        </w:tabs>
        <w:ind w:hanging="360" w:start="720" w:end="0"/>
        <w:rPr>
          <w:sz w:val="22"/>
        </w:rPr>
      </w:pPr>
      <w:r>
        <w:rPr>
          <w:sz w:val="22"/>
        </w:rPr>
        <w:t>Is it to build asset for sale ? / generate level of value ? / time to profitability ? / time to number of clients / market share (by vertical, by region)</w:t>
      </w:r>
    </w:p>
    <w:p>
      <w:pPr>
        <w:pStyle w:val="Bullet3"/>
        <w:numPr>
          <w:ilvl w:val="0"/>
          <w:numId w:val="0"/>
        </w:numPr>
        <w:ind w:hanging="0" w:start="720" w:end="0"/>
        <w:rPr>
          <w:sz w:val="22"/>
        </w:rPr>
      </w:pPr>
      <w:r>
        <w:rPr>
          <w:sz w:val="22"/>
        </w:rPr>
      </w:r>
    </w:p>
    <w:p>
      <w:pPr>
        <w:pStyle w:val="Normal"/>
        <w:jc w:val="both"/>
        <w:rPr>
          <w:rFonts w:ascii="Times New Roman" w:hAnsi="Times New Roman" w:cs="Times New Roman"/>
          <w:sz w:val="22"/>
        </w:rPr>
      </w:pPr>
      <w:r>
        <w:rPr>
          <w:rFonts w:cs="Times New Roman" w:ascii="Times New Roman" w:hAnsi="Times New Roman"/>
          <w:sz w:val="22"/>
        </w:rPr>
        <w:t>Subsequent to the Houston visit, you will take another two (2) days to assemble information provided by Enron and prepare appropriate discussion outlines.  These outlines will be provided to Enron for review and determination as to whether or not further discussions toward a Transaction will be pursued.</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All tolled, you will spend a maximum of five (5) days gathering information and preparing the above outlines, for which Enron agrees to pay you a maximum sum of $13,750.00, plus actual reasonable expenses.  The foregoing sum is calculated based upon a discounted blended rate of $2,750.00/day (the “Day Rate”).  If you and/or Enron determine, at any time prior to the conclusion of the forgoing five (5) day period that we no longer desire to pursue discussions or a Transaction, either you or Enron may terminate your work; however, Enron will be responsible for paying the Day Rate for the actual number of days devoted to the discussions of a possible Transaction or, if a portion of a day has been spent, but not the entire day, reimbursing you at the rate of $345.00/hour for the appropriate number of hours spent.  For our purposes, a “day” shall mean an standard 8 hour work day, inclusive of any overtime or additional work hours.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Enron will pay your fee based upon an invoice to be submitted detailing the actual time spent and expenses incurred, together with copies of supporting receipts.  Payment will be due thirty (30) days following the invoice date.</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/mnt/main-storage/datasets/enron-docs/doc/nda___sungardtrading_risksystems_10_31_01_-1afd82c48d78db4504a21b145b39b9c32fa9052ba06a7b1bea7031aec67eb011.doc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SunGard Trading &amp; Risk Systems________</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6</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720"/>
        </w:tabs>
        <w:ind w:start="0" w:hanging="0"/>
      </w:pPr>
    </w:lvl>
  </w:abstractNum>
  <w:abstractNum w:abstractNumId="4">
    <w:lvl w:ilvl="0">
      <w:start w:val="512"/>
      <w:numFmt w:val="bullet"/>
      <w:lvlText w:val="-"/>
      <w:lvlJc w:val="start"/>
      <w:pPr>
        <w:tabs>
          <w:tab w:val="num" w:pos="720"/>
        </w:tabs>
        <w:ind w:start="720" w:hanging="360"/>
      </w:pPr>
      <w:rPr>
        <w:rFonts w:ascii="Liberation Serif" w:hAnsi="Liberation Serif" w:cs="Liberation Serif" w:hint="default"/>
      </w:rPr>
    </w:lvl>
  </w:abstractNum>
  <w:abstractNum w:abstractNumId="5">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1z0">
    <w:name w:val="WW8Num1z0"/>
    <w:qFormat/>
    <w:rPr>
      <w:rFonts w:ascii="Wingdings" w:hAnsi="Wingdings" w:cs="Wingdings"/>
    </w:rPr>
  </w:style>
  <w:style w:type="character" w:styleId="WW8Num3z0">
    <w:name w:val="WW8Num3z0"/>
    <w:qFormat/>
    <w:rPr/>
  </w:style>
  <w:style w:type="character" w:styleId="WW8Num4z0">
    <w:name w:val="WW8Num4z0"/>
    <w:qFormat/>
    <w:rPr>
      <w:rFonts w:ascii="Wingdings" w:hAnsi="Wingdings" w:cs="Wingdings"/>
      <w:sz w:val="16"/>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ullet2">
    <w:name w:val="Bullet 2"/>
    <w:basedOn w:val="Heading1"/>
    <w:qFormat/>
    <w:pPr>
      <w:numPr>
        <w:ilvl w:val="0"/>
        <w:numId w:val="4"/>
      </w:numPr>
      <w:spacing w:before="0" w:after="0"/>
      <w:jc w:val="both"/>
      <w:outlineLvl w:val="9"/>
    </w:pPr>
    <w:rPr>
      <w:rFonts w:ascii="Times New Roman" w:hAnsi="Times New Roman" w:cs="Times New Roman"/>
      <w:b w:val="false"/>
      <w:caps w:val="false"/>
      <w:smallCaps w:val="false"/>
      <w:sz w:val="24"/>
      <w:u w:val="single"/>
    </w:rPr>
  </w:style>
  <w:style w:type="paragraph" w:styleId="Bullet1">
    <w:name w:val="Bullet 1"/>
    <w:basedOn w:val="Normal"/>
    <w:qFormat/>
    <w:pPr>
      <w:numPr>
        <w:ilvl w:val="0"/>
        <w:numId w:val="5"/>
      </w:numPr>
      <w:jc w:val="both"/>
    </w:pPr>
    <w:rPr>
      <w:rFonts w:ascii="Times New Roman" w:hAnsi="Times New Roman" w:cs="Times New Roman"/>
      <w:b/>
      <w:sz w:val="24"/>
    </w:rPr>
  </w:style>
  <w:style w:type="paragraph" w:styleId="Bullet3">
    <w:name w:val="Bullet3"/>
    <w:basedOn w:val="Normal"/>
    <w:qFormat/>
    <w:pPr>
      <w:numPr>
        <w:ilvl w:val="0"/>
        <w:numId w:val="2"/>
      </w:numPr>
      <w:jc w:val="both"/>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2001-10-31T18:15:00Z</dcterms:created>
  <dc:creator>ECT</dc:creator>
  <dc:description/>
  <dc:language>en-CA</dc:language>
  <cp:lastModifiedBy>mgreenbe</cp:lastModifiedBy>
  <cp:lastPrinted>2000-11-30T13:39:00Z</cp:lastPrinted>
  <dcterms:modified xsi:type="dcterms:W3CDTF">2001-10-31T20:02:00Z</dcterms:modified>
  <cp:revision>4</cp:revision>
  <dc:subject/>
  <dc:title>Long Form Confidentiality Agreement</dc:title>
</cp:coreProperties>
</file>