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pPr>
      <w:r>
        <w:rPr>
          <w:sz w:val="26"/>
        </w:rPr>
        <w:t xml:space="preserve">95 FERC </w:t>
      </w:r>
      <w:r>
        <w:rPr>
          <w:rFonts w:cs="WP TypographicSymbols" w:ascii="WP TypographicSymbols" w:hAnsi="WP TypographicSymbols"/>
          <w:sz w:val="26"/>
        </w:rPr>
        <w:t>&amp;</w:t>
      </w:r>
      <w:r>
        <w:rPr>
          <w:sz w:val="26"/>
        </w:rPr>
        <w:t>  62,237</w:t>
      </w:r>
    </w:p>
    <w:p>
      <w:pPr>
        <w:pStyle w:val="Normal"/>
        <w:widowControl/>
        <w:jc w:val="center"/>
        <w:rPr>
          <w:sz w:val="26"/>
        </w:rPr>
      </w:pPr>
      <w:r>
        <w:rPr>
          <w:sz w:val="26"/>
        </w:rPr>
        <w:t>UNITED STATES OF AMERICA</w:t>
      </w:r>
    </w:p>
    <w:p>
      <w:pPr>
        <w:pStyle w:val="Normal"/>
        <w:widowControl/>
        <w:jc w:val="center"/>
        <w:rPr>
          <w:sz w:val="26"/>
        </w:rPr>
      </w:pPr>
      <w:r>
        <w:rPr>
          <w:sz w:val="26"/>
        </w:rPr>
        <w:t>FEDERAL ENERGY REGULATORY COMMISSION</w:t>
      </w:r>
    </w:p>
    <w:p>
      <w:pPr>
        <w:pStyle w:val="Normal"/>
        <w:widowControl/>
        <w:rPr>
          <w:sz w:val="26"/>
        </w:rPr>
      </w:pPr>
      <w:r>
        <w:rPr>
          <w:sz w:val="26"/>
        </w:rPr>
      </w:r>
    </w:p>
    <w:p>
      <w:pPr>
        <w:pStyle w:val="Normal"/>
        <w:widowControl/>
        <w:tabs>
          <w:tab w:val="clear" w:pos="720"/>
          <w:tab w:val="left" w:pos="-1440" w:leader="none"/>
        </w:tabs>
        <w:ind w:hanging="6480" w:start="6480" w:end="0"/>
        <w:rPr>
          <w:sz w:val="26"/>
        </w:rPr>
      </w:pPr>
      <w:r>
        <w:rPr>
          <w:sz w:val="26"/>
        </w:rPr>
        <w:t xml:space="preserve">North Carolina Power Holdings, LLC       </w:t>
        <w:tab/>
        <w:tab/>
        <w:tab/>
        <w:t>Docket No. EC01-102-000</w:t>
      </w:r>
    </w:p>
    <w:p>
      <w:pPr>
        <w:pStyle w:val="Normal"/>
        <w:widowControl/>
        <w:rPr>
          <w:sz w:val="26"/>
        </w:rPr>
      </w:pPr>
      <w:r>
        <w:rPr>
          <w:sz w:val="26"/>
        </w:rPr>
        <w:t>Enron North American Corp., and</w:t>
      </w:r>
    </w:p>
    <w:p>
      <w:pPr>
        <w:pStyle w:val="Normal"/>
        <w:widowControl/>
        <w:rPr>
          <w:sz w:val="26"/>
        </w:rPr>
      </w:pPr>
      <w:r>
        <w:rPr>
          <w:sz w:val="26"/>
        </w:rPr>
        <w:t>AIG Highstar Capital, L.P.</w:t>
      </w:r>
    </w:p>
    <w:p>
      <w:pPr>
        <w:pStyle w:val="Normal"/>
        <w:widowControl/>
        <w:rPr>
          <w:sz w:val="26"/>
        </w:rPr>
      </w:pPr>
      <w:r>
        <w:rPr>
          <w:sz w:val="26"/>
        </w:rPr>
      </w:r>
    </w:p>
    <w:p>
      <w:pPr>
        <w:pStyle w:val="Normal"/>
        <w:widowControl/>
        <w:tabs>
          <w:tab w:val="clear" w:pos="720"/>
          <w:tab w:val="center" w:pos="4680" w:leader="none"/>
        </w:tabs>
        <w:rPr>
          <w:sz w:val="26"/>
        </w:rPr>
      </w:pPr>
      <w:r>
        <w:rPr>
          <w:sz w:val="26"/>
        </w:rPr>
        <w:tab/>
        <w:t>ORDER AUTHORIZING DISPOSITION</w:t>
      </w:r>
    </w:p>
    <w:p>
      <w:pPr>
        <w:pStyle w:val="Normal"/>
        <w:widowControl/>
        <w:tabs>
          <w:tab w:val="clear" w:pos="720"/>
          <w:tab w:val="center" w:pos="4680" w:leader="none"/>
        </w:tabs>
        <w:rPr>
          <w:sz w:val="26"/>
        </w:rPr>
      </w:pPr>
      <w:r>
        <w:rPr>
          <w:sz w:val="26"/>
        </w:rPr>
        <w:tab/>
        <w:t>OF JURISDICTIONAL FACILITIES</w:t>
      </w:r>
    </w:p>
    <w:p>
      <w:pPr>
        <w:pStyle w:val="Normal"/>
        <w:widowControl/>
        <w:jc w:val="center"/>
        <w:rPr>
          <w:sz w:val="26"/>
        </w:rPr>
      </w:pPr>
      <w:r>
        <w:rPr>
          <w:sz w:val="26"/>
        </w:rPr>
        <w:t>(Issued June 18, 2001)</w:t>
      </w:r>
    </w:p>
    <w:p>
      <w:pPr>
        <w:pStyle w:val="Normal"/>
        <w:widowControl/>
        <w:tabs>
          <w:tab w:val="clear" w:pos="720"/>
          <w:tab w:val="center" w:pos="4680" w:leader="none"/>
        </w:tabs>
        <w:rPr>
          <w:sz w:val="26"/>
        </w:rPr>
      </w:pPr>
      <w:r>
        <w:rPr>
          <w:sz w:val="26"/>
        </w:rPr>
        <w:tab/>
      </w:r>
    </w:p>
    <w:p>
      <w:pPr>
        <w:pStyle w:val="Normal"/>
        <w:widowControl/>
        <w:ind w:firstLine="720" w:end="0"/>
        <w:rPr/>
      </w:pPr>
      <w:r>
        <w:rPr>
          <w:sz w:val="26"/>
        </w:rPr>
        <w:t>On May 18, 2001, as supplemented on May 24, 2001, North Carolina Power Holdings, LLC (NCPH), Enron North American Corp. (Enron N.A.) and AIG Highstar Capital, L.P. (AIG Highstar), on behalf of NCPH's wholly-owned subsidiaries, Elizabethtown Power, LLC (Elizabethtown) and Lumberton Power, LLC (Lumberton) (collectively, Applicants) filed an application pursuant to section 203 of the Federal Power Act (FPA)</w:t>
      </w:r>
      <w:r>
        <w:rPr>
          <w:rStyle w:val="FootnoteCharacters"/>
          <w:rStyle w:val="FootnoteReference"/>
          <w:sz w:val="26"/>
          <w:vertAlign w:val="superscript"/>
        </w:rPr>
        <w:footnoteReference w:id="2"/>
      </w:r>
      <w:r>
        <w:rPr>
          <w:sz w:val="26"/>
        </w:rPr>
        <w:t xml:space="preserve"> for Commission authorization to transfer Enron N.A.'s 100 percent ownership interest in NCPH to AIG Highstar.  The jurisdictional facilities involved in the proposed transaction consist of electric rate tariffs, wholesale power sales agreements, associated books and records, interconnection equipment and step-up transformers.</w:t>
      </w:r>
    </w:p>
    <w:p>
      <w:pPr>
        <w:pStyle w:val="Normal"/>
        <w:widowControl/>
        <w:rPr>
          <w:sz w:val="26"/>
        </w:rPr>
      </w:pPr>
      <w:r>
        <w:rPr>
          <w:sz w:val="26"/>
        </w:rPr>
      </w:r>
    </w:p>
    <w:p>
      <w:pPr>
        <w:pStyle w:val="Normal"/>
        <w:widowControl/>
        <w:ind w:firstLine="720" w:end="0"/>
        <w:rPr/>
      </w:pPr>
      <w:r>
        <w:rPr>
          <w:sz w:val="26"/>
        </w:rPr>
        <w:t>NCPH, a limited liability company, is a wholly-owned subsidiary of Enron N.A., is a public utility and a power marketer authorized by the Commission to sell electric power at market-based rates.  NCPH owns Elizabethtown and Lumberton, both of which are exempt wholesale generators (EWG), own 35 MW generating facilities, and have market-based rate authority.  These two facilities interconnect with the transmission grid of the Carolina Power and Light Co. (CP&amp;L).</w:t>
      </w:r>
      <w:r>
        <w:rPr>
          <w:rStyle w:val="FootnoteCharacters"/>
          <w:rStyle w:val="FootnoteReference"/>
          <w:sz w:val="26"/>
          <w:vertAlign w:val="superscript"/>
        </w:rPr>
        <w:footnoteReference w:id="3"/>
      </w:r>
      <w:r>
        <w:rPr>
          <w:sz w:val="26"/>
        </w:rPr>
        <w:t xml:space="preserve"> </w:t>
      </w:r>
    </w:p>
    <w:p>
      <w:pPr>
        <w:pStyle w:val="Normal"/>
        <w:widowControl/>
        <w:rPr>
          <w:sz w:val="26"/>
        </w:rPr>
      </w:pPr>
      <w:r>
        <w:rPr>
          <w:sz w:val="26"/>
        </w:rPr>
      </w:r>
    </w:p>
    <w:p>
      <w:pPr>
        <w:sectPr>
          <w:footnotePr>
            <w:numFmt w:val="decimal"/>
          </w:footnotePr>
          <w:type w:val="nextPage"/>
          <w:pgSz w:w="12240" w:h="15840"/>
          <w:pgMar w:left="1440" w:right="1440" w:gutter="0" w:header="0" w:top="1440" w:footer="0" w:bottom="1440"/>
          <w:pgNumType w:fmt="decimal"/>
          <w:formProt w:val="false"/>
          <w:textDirection w:val="lrTb"/>
          <w:docGrid w:type="default" w:linePitch="360" w:charSpace="0"/>
        </w:sectPr>
      </w:pPr>
    </w:p>
    <w:p>
      <w:pPr>
        <w:pStyle w:val="Normal"/>
        <w:widowControl/>
        <w:ind w:firstLine="720" w:end="0"/>
        <w:rPr>
          <w:sz w:val="26"/>
        </w:rPr>
      </w:pPr>
      <w:r>
        <w:rPr>
          <w:sz w:val="26"/>
        </w:rPr>
        <w:t xml:space="preserve">Enron N.A. is a wholly-owned subsidiary of Enron Corporation (Enron), an exempt holding company under the Public Utility Holding Company Act of 1935 (PUHCA).  Enron also owns Portland General Electric Company, a public utility.    </w:t>
      </w:r>
    </w:p>
    <w:p>
      <w:pPr>
        <w:pStyle w:val="Normal"/>
        <w:widowControl/>
        <w:ind w:firstLine="720" w:end="0"/>
        <w:rPr>
          <w:sz w:val="26"/>
        </w:rPr>
      </w:pPr>
      <w:r>
        <w:rPr>
          <w:sz w:val="26"/>
        </w:rPr>
      </w:r>
    </w:p>
    <w:p>
      <w:pPr>
        <w:pStyle w:val="Normal"/>
        <w:widowControl/>
        <w:ind w:firstLine="720" w:end="0"/>
        <w:rPr>
          <w:sz w:val="26"/>
        </w:rPr>
      </w:pPr>
      <w:r>
        <w:rPr>
          <w:sz w:val="26"/>
        </w:rPr>
        <w:t>AIG Highstar is a Delaware limited liability company formed as an investment fund specifically to enable private equity investments in power, transportation and environmental services sectors in the United States.  AIG Highstar is affiliated with AIG Energy Trading Inc., which is presently seeking to become a public utility and power marketer subject to the FPA in a separate proceeding.</w:t>
      </w:r>
      <w:r>
        <w:rPr>
          <w:rStyle w:val="FootnoteCharacters"/>
          <w:rStyle w:val="FootnoteReference"/>
          <w:sz w:val="26"/>
          <w:vertAlign w:val="superscript"/>
        </w:rPr>
        <w:footnoteReference w:id="4"/>
      </w:r>
    </w:p>
    <w:p>
      <w:pPr>
        <w:pStyle w:val="Normal"/>
        <w:widowControl/>
        <w:rPr>
          <w:sz w:val="26"/>
        </w:rPr>
      </w:pPr>
      <w:r>
        <w:rPr>
          <w:sz w:val="26"/>
        </w:rPr>
      </w:r>
    </w:p>
    <w:p>
      <w:pPr>
        <w:pStyle w:val="Normal"/>
        <w:widowControl/>
        <w:ind w:firstLine="720" w:end="0"/>
        <w:rPr>
          <w:sz w:val="26"/>
        </w:rPr>
      </w:pPr>
      <w:r>
        <w:rPr>
          <w:sz w:val="26"/>
        </w:rPr>
        <w:t>Pursuant to a May 16, 2001, Securities Purchase Agreement between Enron N.A. and AIG Highstar, Enron N.A. will sell its 100 percent ownership interest in NCPH to AIG Highstar.  According to the application, the jurisdictional facilities involved include wholesale power sales agreements and associated books and records, jurisdictional facilities associated with the generation plants including the NCPH electric rate tariff, the electric rate tariffs of Elizabethtown and Lumberton, and the interconnection facilities and step-up transformers associated with the two generating facilities.</w:t>
      </w:r>
    </w:p>
    <w:p>
      <w:pPr>
        <w:pStyle w:val="Normal"/>
        <w:widowControl/>
        <w:rPr>
          <w:sz w:val="26"/>
        </w:rPr>
      </w:pPr>
      <w:r>
        <w:rPr>
          <w:sz w:val="26"/>
        </w:rPr>
      </w:r>
    </w:p>
    <w:p>
      <w:pPr>
        <w:pStyle w:val="Normal"/>
        <w:widowControl/>
        <w:ind w:firstLine="720" w:end="0"/>
        <w:rPr>
          <w:sz w:val="26"/>
        </w:rPr>
      </w:pPr>
      <w:r>
        <w:rPr>
          <w:sz w:val="26"/>
        </w:rPr>
        <w:t>Applicants indicate that the proposed transaction is consistent with the public interest and will not have an adverse effect on competition, rates or regulation.  With respect to competition, Applicants state that the proposed transaction will not adversely affect competition because in granting market-based rate authority the Commission did not find that NCPH, its subsidiaries, or its affiliated power marketers and EWGs, could exercise market power in any relevant generation or transmission market.  In addition, Applicants state that none of the entities could erect other barriers to entry.  With regard to rates, Applicants state that the proposed transaction will not adversely affect rates because the power sold from the Elizabethtown and Lumberton facilities is sold at market-based rates.  With respect to regulation, Applicants indicate that the proposed transaction will not impair the effectiveness of federal regulation because NCPH and its subsidiaries will continue to be subject to the Commission's regulation after the proposed transaction.  In addition, none of the Applicants or their affiliates is a registered holding company under PUHCA, and the proposed transaction will not result in the creation of a registered holding company system.  With respect to state regulation, Applicants state that the proposed transaction will not affect state regulation.</w:t>
      </w:r>
    </w:p>
    <w:p>
      <w:pPr>
        <w:pStyle w:val="Normal"/>
        <w:widowControl/>
        <w:rPr>
          <w:sz w:val="26"/>
        </w:rPr>
      </w:pPr>
      <w:r>
        <w:rPr>
          <w:sz w:val="26"/>
        </w:rPr>
      </w:r>
    </w:p>
    <w:p>
      <w:pPr>
        <w:pStyle w:val="Normal"/>
        <w:widowControl/>
        <w:ind w:firstLine="720" w:end="0"/>
        <w:rPr>
          <w:sz w:val="26"/>
        </w:rPr>
      </w:pPr>
      <w:r>
        <w:rPr>
          <w:sz w:val="26"/>
        </w:rPr>
        <w:t>Notice of the application was published in the Federal Register, with comments, protests or interventions due on or before June 8, 2001.  None was received.</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rPr>
          <w:sz w:val="26"/>
        </w:rPr>
      </w:pPr>
      <w:r>
        <w:rPr>
          <w:sz w:val="26"/>
        </w:rPr>
        <w:t xml:space="preserve"> </w:t>
      </w:r>
    </w:p>
    <w:p>
      <w:pPr>
        <w:pStyle w:val="Normal"/>
        <w:widowControl/>
        <w:ind w:firstLine="720" w:end="0"/>
        <w:rPr>
          <w:sz w:val="26"/>
        </w:rPr>
      </w:pPr>
      <w:r>
        <w:rPr>
          <w:sz w:val="26"/>
        </w:rPr>
        <w:t>After consideration, it is concluded that the proposed transaction is consistent with the public interest and is authorized, subject to the following conditions:</w:t>
      </w:r>
    </w:p>
    <w:p>
      <w:pPr>
        <w:pStyle w:val="Normal"/>
        <w:widowControl/>
        <w:rPr>
          <w:sz w:val="26"/>
        </w:rPr>
      </w:pPr>
      <w:r>
        <w:rPr>
          <w:sz w:val="26"/>
        </w:rPr>
      </w:r>
    </w:p>
    <w:p>
      <w:pPr>
        <w:pStyle w:val="Normal"/>
        <w:widowControl/>
        <w:tabs>
          <w:tab w:val="clear" w:pos="720"/>
          <w:tab w:val="left" w:pos="-1440" w:leader="none"/>
        </w:tabs>
        <w:ind w:hanging="720" w:start="1440" w:end="0"/>
        <w:rPr>
          <w:sz w:val="26"/>
        </w:rPr>
      </w:pPr>
      <w:r>
        <w:rPr>
          <w:sz w:val="26"/>
        </w:rPr>
        <w:t>(1)</w:t>
        <w:tab/>
        <w:t>The proposed transaction is authorized upon the terms and conditions and for the purposes set forth in the application;</w:t>
      </w:r>
    </w:p>
    <w:p>
      <w:pPr>
        <w:pStyle w:val="Normal"/>
        <w:widowControl/>
        <w:rPr>
          <w:sz w:val="26"/>
        </w:rPr>
      </w:pPr>
      <w:r>
        <w:rPr>
          <w:sz w:val="26"/>
        </w:rPr>
      </w:r>
    </w:p>
    <w:p>
      <w:pPr>
        <w:pStyle w:val="Normal"/>
        <w:widowControl/>
        <w:tabs>
          <w:tab w:val="clear" w:pos="720"/>
          <w:tab w:val="left" w:pos="-1440" w:leader="none"/>
        </w:tabs>
        <w:ind w:hanging="720" w:start="1440" w:end="0"/>
        <w:rPr>
          <w:sz w:val="26"/>
        </w:rPr>
      </w:pPr>
      <w:r>
        <w:rPr>
          <w:sz w:val="26"/>
        </w:rPr>
        <w:t>(2)</w:t>
        <w:tab/>
        <w:t>The foregoing authorization is without prejudice to the authority of the Commission or any other regulatory body with respect to rates, service, accounts, valuation, estimates or determinations of costs or any other matter whatsoever now pending or which may come before the Commission;</w:t>
      </w:r>
    </w:p>
    <w:p>
      <w:pPr>
        <w:pStyle w:val="Normal"/>
        <w:widowControl/>
        <w:rPr>
          <w:sz w:val="26"/>
        </w:rPr>
      </w:pPr>
      <w:r>
        <w:rPr>
          <w:sz w:val="26"/>
        </w:rPr>
      </w:r>
    </w:p>
    <w:p>
      <w:pPr>
        <w:pStyle w:val="Normal"/>
        <w:widowControl/>
        <w:tabs>
          <w:tab w:val="clear" w:pos="720"/>
          <w:tab w:val="left" w:pos="-1440" w:leader="none"/>
        </w:tabs>
        <w:ind w:hanging="720" w:start="1440" w:end="0"/>
        <w:rPr>
          <w:sz w:val="26"/>
        </w:rPr>
      </w:pPr>
      <w:r>
        <w:rPr>
          <w:sz w:val="26"/>
        </w:rPr>
        <w:t>(3)</w:t>
        <w:tab/>
        <w:t>Nothing in this order shall be construed to imply acquiescence in any estimate or determination of cost or any valuation of property claimed or asserted;</w:t>
      </w:r>
    </w:p>
    <w:p>
      <w:pPr>
        <w:pStyle w:val="Normal"/>
        <w:widowControl/>
        <w:rPr>
          <w:sz w:val="26"/>
        </w:rPr>
      </w:pPr>
      <w:r>
        <w:rPr>
          <w:sz w:val="26"/>
        </w:rPr>
      </w:r>
    </w:p>
    <w:p>
      <w:pPr>
        <w:pStyle w:val="Normal"/>
        <w:widowControl/>
        <w:tabs>
          <w:tab w:val="clear" w:pos="720"/>
          <w:tab w:val="left" w:pos="-1440" w:leader="none"/>
        </w:tabs>
        <w:ind w:hanging="720" w:start="1440" w:end="0"/>
        <w:rPr>
          <w:sz w:val="26"/>
        </w:rPr>
      </w:pPr>
      <w:r>
        <w:rPr>
          <w:sz w:val="26"/>
        </w:rPr>
        <w:t>(4)</w:t>
        <w:tab/>
        <w:t>The Commission retains authority under sections 203(b) and 309 of the FPA to issue supplemental orders as appropriate; and</w:t>
      </w:r>
    </w:p>
    <w:p>
      <w:pPr>
        <w:pStyle w:val="Normal"/>
        <w:widowControl/>
        <w:rPr>
          <w:sz w:val="26"/>
        </w:rPr>
      </w:pPr>
      <w:r>
        <w:rPr>
          <w:sz w:val="26"/>
        </w:rPr>
      </w:r>
    </w:p>
    <w:p>
      <w:pPr>
        <w:pStyle w:val="Normal"/>
        <w:widowControl/>
        <w:tabs>
          <w:tab w:val="clear" w:pos="720"/>
          <w:tab w:val="left" w:pos="-1440" w:leader="none"/>
        </w:tabs>
        <w:ind w:hanging="720" w:start="1440" w:end="0"/>
        <w:rPr>
          <w:sz w:val="26"/>
        </w:rPr>
      </w:pPr>
      <w:r>
        <w:rPr>
          <w:sz w:val="26"/>
        </w:rPr>
        <w:t>(5)</w:t>
        <w:tab/>
        <w:t>Applicants shall notify the Commission within 10 days of the date that the disposition of jurisdictional facilities has been consummated.</w:t>
      </w:r>
    </w:p>
    <w:p>
      <w:pPr>
        <w:pStyle w:val="Normal"/>
        <w:widowControl/>
        <w:rPr>
          <w:sz w:val="26"/>
        </w:rPr>
      </w:pPr>
      <w:r>
        <w:rPr>
          <w:sz w:val="26"/>
        </w:rPr>
      </w:r>
    </w:p>
    <w:p>
      <w:pPr>
        <w:pStyle w:val="Normal"/>
        <w:widowControl/>
        <w:ind w:firstLine="720" w:end="0"/>
        <w:rPr/>
      </w:pPr>
      <w:r>
        <w:rPr>
          <w:sz w:val="26"/>
        </w:rPr>
        <w:t xml:space="preserve">Authority to act on this matter is delegated to the Director, Division of Corporate Applications, pursuant to 18 C.F.R. </w:t>
      </w:r>
      <w:r>
        <w:rPr>
          <w:rFonts w:cs="WP TypographicSymbols" w:ascii="WP TypographicSymbols" w:hAnsi="WP TypographicSymbols"/>
          <w:sz w:val="26"/>
        </w:rPr>
        <w:t>'</w:t>
      </w:r>
      <w:r>
        <w:rPr>
          <w:sz w:val="26"/>
        </w:rPr>
        <w:t xml:space="preserve"> 375.307.  This order constitutes final agency action.  Requests for rehearing by the Commission may be filed within thirty (30) days of the date of the issuance of this order, pursuant to 18 C.F.R. </w:t>
      </w:r>
      <w:r>
        <w:rPr>
          <w:rFonts w:cs="WP TypographicSymbols" w:ascii="WP TypographicSymbols" w:hAnsi="WP TypographicSymbols"/>
          <w:sz w:val="26"/>
        </w:rPr>
        <w:t>'</w:t>
      </w:r>
      <w:r>
        <w:rPr>
          <w:sz w:val="26"/>
        </w:rPr>
        <w:t xml:space="preserve"> 385.713.</w:t>
      </w:r>
    </w:p>
    <w:p>
      <w:pPr>
        <w:pStyle w:val="Normal"/>
        <w:widowControl/>
        <w:rPr>
          <w:sz w:val="26"/>
        </w:rPr>
      </w:pPr>
      <w:r>
        <w:rPr>
          <w:sz w:val="26"/>
        </w:rPr>
      </w:r>
    </w:p>
    <w:p>
      <w:pPr>
        <w:pStyle w:val="Normal"/>
        <w:widowControl/>
        <w:rPr>
          <w:sz w:val="26"/>
        </w:rPr>
      </w:pPr>
      <w:r>
        <w:rPr>
          <w:sz w:val="26"/>
        </w:rPr>
      </w:r>
    </w:p>
    <w:p>
      <w:pPr>
        <w:pStyle w:val="Normal"/>
        <w:widowControl/>
        <w:rPr>
          <w:sz w:val="26"/>
        </w:rPr>
      </w:pPr>
      <w:r>
        <w:rPr>
          <w:sz w:val="26"/>
        </w:rPr>
      </w:r>
    </w:p>
    <w:p>
      <w:pPr>
        <w:pStyle w:val="Normal"/>
        <w:widowControl/>
        <w:ind w:firstLine="3600" w:end="0"/>
        <w:rPr>
          <w:sz w:val="26"/>
        </w:rPr>
      </w:pPr>
      <w:r>
        <w:rPr>
          <w:sz w:val="26"/>
        </w:rPr>
        <w:t>Michael C. McLaughlin, Director</w:t>
      </w:r>
    </w:p>
    <w:p>
      <w:pPr>
        <w:pStyle w:val="Normal"/>
        <w:widowControl/>
        <w:ind w:firstLine="3600" w:end="0"/>
        <w:rPr>
          <w:sz w:val="26"/>
        </w:rPr>
      </w:pPr>
      <w:r>
        <w:rPr>
          <w:sz w:val="26"/>
        </w:rPr>
        <w:t>Division of Corporate Applications</w:t>
      </w:r>
    </w:p>
    <w:p>
      <w:pPr>
        <w:pStyle w:val="Normal"/>
        <w:widowControl/>
        <w:rPr>
          <w:sz w:val="26"/>
        </w:rPr>
      </w:pPr>
      <w:r>
        <w:rPr>
          <w:sz w:val="26"/>
        </w:rPr>
      </w:r>
    </w:p>
    <w:sectPr>
      <w:footnotePr>
        <w:numFmt w:val="decimal"/>
      </w:footnotePr>
      <w:type w:val="continuous"/>
      <w:pgSz w:w="12240" w:h="15840"/>
      <w:pgMar w:left="1440" w:right="1440" w:gutter="0" w:header="0" w:top="144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0"/>
        <w:rPr/>
      </w:pPr>
      <w:r>
        <w:rPr>
          <w:rStyle w:val="FootnoteCharacters"/>
        </w:rPr>
        <w:footnoteRef/>
      </w:r>
      <w:r>
        <w:rPr>
          <w:sz w:val="26"/>
        </w:rPr>
        <w:t xml:space="preserve">16 U.S.C. </w:t>
      </w:r>
      <w:r>
        <w:rPr>
          <w:rFonts w:cs="WP TypographicSymbols" w:ascii="WP TypographicSymbols" w:hAnsi="WP TypographicSymbols"/>
          <w:sz w:val="26"/>
        </w:rPr>
        <w:t>'</w:t>
      </w:r>
      <w:r>
        <w:rPr>
          <w:sz w:val="26"/>
        </w:rPr>
        <w:t xml:space="preserve"> 824b (1994).</w:t>
      </w:r>
    </w:p>
  </w:footnote>
  <w:footnote w:id="3">
    <w:p>
      <w:pPr>
        <w:pStyle w:val="Normal"/>
        <w:spacing w:before="0" w:after="240"/>
        <w:ind w:firstLine="720" w:end="0"/>
        <w:rPr/>
      </w:pPr>
      <w:r>
        <w:rPr>
          <w:rStyle w:val="FootnoteCharacters"/>
        </w:rPr>
        <w:footnoteRef/>
      </w:r>
      <w:r>
        <w:rPr>
          <w:sz w:val="26"/>
        </w:rPr>
        <w:t>According to the application, CP&amp;L filed Facility and Interconnection and Operating Agreements between it and Lumberton and Elizabethtown on April 24, 2001.  Those filings were assigned Docket Nos. ER01-1583-000 and ER01-1859-000, respectively.  The filing which was assigned Docket No. ER01-1583-000 was authorized by letter order dated May 4, 2001.  The filing which was assigned Docket No. ER01-1859-000 is still pending Commission action and will be addressed by a separate Commission order.</w:t>
      </w:r>
    </w:p>
  </w:footnote>
  <w:footnote w:id="4">
    <w:p>
      <w:pPr>
        <w:pStyle w:val="Normal"/>
        <w:spacing w:before="0" w:after="240"/>
        <w:ind w:firstLine="720" w:end="0"/>
        <w:rPr/>
      </w:pPr>
      <w:r>
        <w:rPr>
          <w:rStyle w:val="FootnoteCharacters"/>
        </w:rPr>
        <w:footnoteRef/>
      </w:r>
      <w:r>
        <w:rPr>
          <w:sz w:val="26"/>
          <w:u w:val="single"/>
        </w:rPr>
        <w:t>See</w:t>
      </w:r>
      <w:r>
        <w:rPr>
          <w:sz w:val="26"/>
        </w:rPr>
        <w:t xml:space="preserve">, AIG Energy Trading Inc., Docket No. ER01-1635-000. </w:t>
      </w:r>
    </w:p>
  </w:footnote>
</w:footnotes>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uppressLineNumbers/>
      <w:ind w:hanging="340" w:start="340"/>
    </w:pPr>
    <w:rPr>
      <w:sz w:val="20"/>
      <w:szCs w:val="20"/>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2001-06-18T18:44:00Z</dcterms:created>
  <dc:creator>Bracewell &amp; Patterson, L.L.P.</dc:creator>
  <dc:description/>
  <dc:language>en-CA</dc:language>
  <cp:lastModifiedBy>Bracewell &amp; Patterson, L.L.P.</cp:lastModifiedBy>
  <dcterms:modified xsi:type="dcterms:W3CDTF">2001-06-18T18:44:00Z</dcterms:modified>
  <cp:revision>2</cp:revision>
  <dc:subject/>
  <dc:title>95 FERC &amp;  62,237</dc:title>
</cp:coreProperties>
</file>