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NCPA Gas Supply Term Sheet</w:t>
      </w:r>
    </w:p>
    <w:p>
      <w:pPr>
        <w:pStyle w:val="Heading"/>
        <w:rPr>
          <w:sz w:val="24"/>
        </w:rPr>
      </w:pPr>
      <w:r>
        <w:rPr>
          <w:sz w:val="24"/>
        </w:rPr>
      </w:r>
    </w:p>
    <w:p>
      <w:pPr>
        <w:pStyle w:val="Heading"/>
        <w:rPr>
          <w:b w:val="false"/>
          <w:bCs w:val="false"/>
          <w:sz w:val="24"/>
        </w:rPr>
      </w:pPr>
      <w:r>
        <w:rPr>
          <w:sz w:val="24"/>
        </w:rPr>
        <w:t>October 22, 2001</w:t>
      </w:r>
    </w:p>
    <w:p>
      <w:pPr>
        <w:pStyle w:val="Heading"/>
        <w:jc w:val="start"/>
        <w:rPr>
          <w:b w:val="false"/>
          <w:bCs w:val="false"/>
          <w:sz w:val="24"/>
        </w:rPr>
      </w:pPr>
      <w:r>
        <w:rPr>
          <w:b w:val="false"/>
          <w:bCs w:val="false"/>
          <w:sz w:val="24"/>
        </w:rPr>
      </w:r>
    </w:p>
    <w:p>
      <w:pPr>
        <w:pStyle w:val="Heading"/>
        <w:jc w:val="start"/>
        <w:rPr>
          <w:sz w:val="24"/>
          <w:u w:val="single"/>
        </w:rPr>
      </w:pPr>
      <w:r>
        <w:rPr>
          <w:sz w:val="24"/>
          <w:u w:val="single"/>
        </w:rPr>
        <w:t>Transaction 1</w:t>
      </w:r>
    </w:p>
    <w:p>
      <w:pPr>
        <w:pStyle w:val="Heading"/>
        <w:jc w:val="start"/>
        <w:rPr>
          <w:sz w:val="24"/>
          <w:u w:val="single"/>
        </w:rPr>
      </w:pPr>
      <w:r>
        <w:rPr>
          <w:sz w:val="24"/>
          <w:u w:val="single"/>
        </w:rPr>
      </w:r>
    </w:p>
    <w:p>
      <w:pPr>
        <w:pStyle w:val="Heading"/>
        <w:jc w:val="start"/>
        <w:rPr/>
      </w:pPr>
      <w:r>
        <w:rPr>
          <w:sz w:val="24"/>
        </w:rPr>
        <w:t>Seller</w:t>
      </w:r>
      <w:r>
        <w:rPr>
          <w:b w:val="false"/>
          <w:bCs w:val="false"/>
          <w:sz w:val="24"/>
        </w:rPr>
        <w:t>:</w:t>
        <w:tab/>
        <w:t>Northern California Power Agency (NCPA)</w:t>
      </w:r>
    </w:p>
    <w:p>
      <w:pPr>
        <w:pStyle w:val="Heading"/>
        <w:jc w:val="start"/>
        <w:rPr>
          <w:b w:val="false"/>
          <w:bCs w:val="false"/>
          <w:sz w:val="24"/>
        </w:rPr>
      </w:pPr>
      <w:r>
        <w:rPr>
          <w:b w:val="false"/>
          <w:bCs w:val="false"/>
          <w:sz w:val="24"/>
        </w:rPr>
      </w:r>
    </w:p>
    <w:p>
      <w:pPr>
        <w:pStyle w:val="Heading"/>
        <w:jc w:val="start"/>
        <w:rPr/>
      </w:pPr>
      <w:r>
        <w:rPr>
          <w:sz w:val="24"/>
        </w:rPr>
        <w:t>Buyer</w:t>
      </w:r>
      <w:r>
        <w:rPr>
          <w:b w:val="false"/>
          <w:bCs w:val="false"/>
          <w:sz w:val="24"/>
        </w:rPr>
        <w:t>: Enron North America (ENA)</w:t>
      </w:r>
    </w:p>
    <w:p>
      <w:pPr>
        <w:pStyle w:val="Heading"/>
        <w:jc w:val="start"/>
        <w:rPr>
          <w:b w:val="false"/>
          <w:bCs w:val="false"/>
          <w:sz w:val="24"/>
        </w:rPr>
      </w:pPr>
      <w:r>
        <w:rPr>
          <w:b w:val="false"/>
          <w:bCs w:val="false"/>
          <w:sz w:val="24"/>
        </w:rPr>
      </w:r>
    </w:p>
    <w:p>
      <w:pPr>
        <w:pStyle w:val="Heading"/>
        <w:jc w:val="start"/>
        <w:rPr/>
      </w:pPr>
      <w:r>
        <w:rPr>
          <w:sz w:val="24"/>
        </w:rPr>
        <w:t>Delivery Point</w:t>
      </w:r>
      <w:r>
        <w:rPr>
          <w:b w:val="false"/>
          <w:bCs w:val="false"/>
          <w:sz w:val="24"/>
        </w:rPr>
        <w:t>:  PG&amp;E City Gate</w:t>
      </w:r>
    </w:p>
    <w:p>
      <w:pPr>
        <w:pStyle w:val="Heading"/>
        <w:jc w:val="start"/>
        <w:rPr>
          <w:b w:val="false"/>
          <w:bCs w:val="false"/>
          <w:sz w:val="24"/>
        </w:rPr>
      </w:pPr>
      <w:r>
        <w:rPr>
          <w:b w:val="false"/>
          <w:bCs w:val="false"/>
          <w:sz w:val="24"/>
        </w:rPr>
      </w:r>
    </w:p>
    <w:p>
      <w:pPr>
        <w:pStyle w:val="Heading"/>
        <w:jc w:val="start"/>
        <w:rPr/>
      </w:pPr>
      <w:r>
        <w:rPr>
          <w:sz w:val="24"/>
        </w:rPr>
        <w:t>Quantity</w:t>
      </w:r>
      <w:r>
        <w:rPr>
          <w:b w:val="false"/>
          <w:bCs w:val="false"/>
          <w:sz w:val="24"/>
        </w:rPr>
        <w:t>: 5000 MMBtu/day</w:t>
      </w:r>
    </w:p>
    <w:p>
      <w:pPr>
        <w:pStyle w:val="Heading"/>
        <w:jc w:val="start"/>
        <w:rPr>
          <w:b w:val="false"/>
          <w:bCs w:val="false"/>
          <w:sz w:val="24"/>
        </w:rPr>
      </w:pPr>
      <w:r>
        <w:rPr>
          <w:b w:val="false"/>
          <w:bCs w:val="false"/>
          <w:sz w:val="24"/>
        </w:rPr>
      </w:r>
    </w:p>
    <w:p>
      <w:pPr>
        <w:pStyle w:val="Heading"/>
        <w:jc w:val="start"/>
        <w:rPr/>
      </w:pPr>
      <w:r>
        <w:rPr>
          <w:sz w:val="24"/>
        </w:rPr>
        <w:t>Term:</w:t>
      </w:r>
      <w:r>
        <w:rPr>
          <w:b w:val="false"/>
          <w:bCs w:val="false"/>
          <w:sz w:val="24"/>
        </w:rPr>
        <w:t xml:space="preserve">  January 1, 2002 through December 31, 2002</w:t>
      </w:r>
    </w:p>
    <w:p>
      <w:pPr>
        <w:pStyle w:val="Heading"/>
        <w:jc w:val="start"/>
        <w:rPr>
          <w:b w:val="false"/>
          <w:bCs w:val="false"/>
          <w:sz w:val="24"/>
        </w:rPr>
      </w:pPr>
      <w:r>
        <w:rPr>
          <w:b w:val="false"/>
          <w:bCs w:val="false"/>
          <w:sz w:val="24"/>
        </w:rPr>
      </w:r>
    </w:p>
    <w:p>
      <w:pPr>
        <w:pStyle w:val="Heading"/>
        <w:jc w:val="start"/>
        <w:rPr/>
      </w:pPr>
      <w:r>
        <w:rPr>
          <w:sz w:val="24"/>
        </w:rPr>
        <w:t xml:space="preserve">Product:  </w:t>
      </w:r>
      <w:r>
        <w:rPr>
          <w:b w:val="false"/>
          <w:bCs w:val="false"/>
          <w:sz w:val="24"/>
        </w:rPr>
        <w:t>physical basis</w:t>
      </w:r>
    </w:p>
    <w:p>
      <w:pPr>
        <w:pStyle w:val="Heading"/>
        <w:jc w:val="start"/>
        <w:rPr>
          <w:b w:val="false"/>
          <w:bCs w:val="false"/>
          <w:sz w:val="24"/>
        </w:rPr>
      </w:pPr>
      <w:r>
        <w:rPr>
          <w:b w:val="false"/>
          <w:bCs w:val="false"/>
          <w:sz w:val="24"/>
        </w:rPr>
      </w:r>
    </w:p>
    <w:p>
      <w:pPr>
        <w:pStyle w:val="Heading"/>
        <w:jc w:val="start"/>
        <w:rPr/>
      </w:pPr>
      <w:r>
        <w:rPr>
          <w:sz w:val="24"/>
        </w:rPr>
        <w:t>Price:</w:t>
      </w:r>
      <w:r>
        <w:rPr>
          <w:b w:val="false"/>
          <w:bCs w:val="false"/>
          <w:sz w:val="24"/>
        </w:rPr>
        <w:t xml:space="preserve">  $3.37</w:t>
      </w:r>
    </w:p>
    <w:p>
      <w:pPr>
        <w:pStyle w:val="Heading"/>
        <w:jc w:val="start"/>
        <w:rPr>
          <w:b w:val="false"/>
          <w:bCs w:val="false"/>
          <w:sz w:val="24"/>
        </w:rPr>
      </w:pPr>
      <w:r>
        <w:rPr>
          <w:b w:val="false"/>
          <w:bCs w:val="false"/>
          <w:sz w:val="24"/>
        </w:rPr>
      </w:r>
    </w:p>
    <w:p>
      <w:pPr>
        <w:pStyle w:val="Heading"/>
        <w:jc w:val="start"/>
        <w:rPr>
          <w:b w:val="false"/>
          <w:bCs w:val="false"/>
          <w:sz w:val="24"/>
        </w:rPr>
      </w:pPr>
      <w:r>
        <w:rPr>
          <w:b w:val="false"/>
          <w:bCs w:val="false"/>
          <w:sz w:val="24"/>
        </w:rPr>
      </w:r>
    </w:p>
    <w:p>
      <w:pPr>
        <w:pStyle w:val="Heading"/>
        <w:jc w:val="start"/>
        <w:rPr>
          <w:sz w:val="24"/>
          <w:u w:val="single"/>
        </w:rPr>
      </w:pPr>
      <w:r>
        <w:rPr>
          <w:sz w:val="24"/>
          <w:u w:val="single"/>
        </w:rPr>
        <w:t>Transaction 2</w:t>
      </w:r>
    </w:p>
    <w:p>
      <w:pPr>
        <w:pStyle w:val="Heading"/>
        <w:jc w:val="start"/>
        <w:rPr>
          <w:sz w:val="24"/>
          <w:u w:val="single"/>
        </w:rPr>
      </w:pPr>
      <w:r>
        <w:rPr>
          <w:sz w:val="24"/>
          <w:u w:val="single"/>
        </w:rPr>
      </w:r>
    </w:p>
    <w:p>
      <w:pPr>
        <w:pStyle w:val="Heading"/>
        <w:jc w:val="start"/>
        <w:rPr/>
      </w:pPr>
      <w:r>
        <w:rPr>
          <w:sz w:val="24"/>
        </w:rPr>
        <w:t>Seller</w:t>
      </w:r>
      <w:r>
        <w:rPr>
          <w:b w:val="false"/>
          <w:bCs w:val="false"/>
          <w:sz w:val="24"/>
        </w:rPr>
        <w:t>:</w:t>
        <w:tab/>
        <w:t>Enron North America (ENA)</w:t>
      </w:r>
    </w:p>
    <w:p>
      <w:pPr>
        <w:pStyle w:val="Heading"/>
        <w:jc w:val="start"/>
        <w:rPr>
          <w:b w:val="false"/>
          <w:bCs w:val="false"/>
          <w:sz w:val="24"/>
        </w:rPr>
      </w:pPr>
      <w:r>
        <w:rPr>
          <w:b w:val="false"/>
          <w:bCs w:val="false"/>
          <w:sz w:val="24"/>
        </w:rPr>
      </w:r>
    </w:p>
    <w:p>
      <w:pPr>
        <w:pStyle w:val="Heading"/>
        <w:jc w:val="start"/>
        <w:rPr/>
      </w:pPr>
      <w:r>
        <w:rPr>
          <w:sz w:val="24"/>
        </w:rPr>
        <w:t>Buyer</w:t>
      </w:r>
      <w:r>
        <w:rPr>
          <w:b w:val="false"/>
          <w:bCs w:val="false"/>
          <w:sz w:val="24"/>
        </w:rPr>
        <w:t>: Northern California Power Agency (NCPA)</w:t>
      </w:r>
    </w:p>
    <w:p>
      <w:pPr>
        <w:pStyle w:val="Heading"/>
        <w:jc w:val="start"/>
        <w:rPr>
          <w:b w:val="false"/>
          <w:bCs w:val="false"/>
          <w:sz w:val="24"/>
        </w:rPr>
      </w:pPr>
      <w:r>
        <w:rPr>
          <w:b w:val="false"/>
          <w:bCs w:val="false"/>
          <w:sz w:val="24"/>
        </w:rPr>
      </w:r>
    </w:p>
    <w:p>
      <w:pPr>
        <w:pStyle w:val="Heading"/>
        <w:jc w:val="start"/>
        <w:rPr/>
      </w:pPr>
      <w:r>
        <w:rPr>
          <w:sz w:val="24"/>
        </w:rPr>
        <w:t>Delivery Point</w:t>
      </w:r>
      <w:r>
        <w:rPr>
          <w:b w:val="false"/>
          <w:bCs w:val="false"/>
          <w:sz w:val="24"/>
        </w:rPr>
        <w:t>:  PG&amp;E City Gate</w:t>
      </w:r>
    </w:p>
    <w:p>
      <w:pPr>
        <w:pStyle w:val="Heading"/>
        <w:jc w:val="start"/>
        <w:rPr>
          <w:b w:val="false"/>
          <w:bCs w:val="false"/>
          <w:sz w:val="24"/>
        </w:rPr>
      </w:pPr>
      <w:r>
        <w:rPr>
          <w:b w:val="false"/>
          <w:bCs w:val="false"/>
          <w:sz w:val="24"/>
        </w:rPr>
      </w:r>
    </w:p>
    <w:p>
      <w:pPr>
        <w:pStyle w:val="Heading"/>
        <w:jc w:val="start"/>
        <w:rPr/>
      </w:pPr>
      <w:r>
        <w:rPr>
          <w:sz w:val="24"/>
        </w:rPr>
        <w:t>Quantity</w:t>
      </w:r>
      <w:r>
        <w:rPr>
          <w:b w:val="false"/>
          <w:bCs w:val="false"/>
          <w:sz w:val="24"/>
        </w:rPr>
        <w:t>: 5000 MMBtu/day</w:t>
      </w:r>
    </w:p>
    <w:p>
      <w:pPr>
        <w:pStyle w:val="Heading"/>
        <w:jc w:val="start"/>
        <w:rPr>
          <w:b w:val="false"/>
          <w:bCs w:val="false"/>
          <w:sz w:val="24"/>
        </w:rPr>
      </w:pPr>
      <w:r>
        <w:rPr>
          <w:b w:val="false"/>
          <w:bCs w:val="false"/>
          <w:sz w:val="24"/>
        </w:rPr>
      </w:r>
    </w:p>
    <w:p>
      <w:pPr>
        <w:pStyle w:val="Heading"/>
        <w:jc w:val="start"/>
        <w:rPr/>
      </w:pPr>
      <w:r>
        <w:rPr>
          <w:sz w:val="24"/>
        </w:rPr>
        <w:t>Term:</w:t>
      </w:r>
      <w:r>
        <w:rPr>
          <w:b w:val="false"/>
          <w:bCs w:val="false"/>
          <w:sz w:val="24"/>
        </w:rPr>
        <w:t xml:space="preserve">  January 1, 2002 through December 31, 2004</w:t>
      </w:r>
    </w:p>
    <w:p>
      <w:pPr>
        <w:pStyle w:val="Heading"/>
        <w:jc w:val="start"/>
        <w:rPr>
          <w:b w:val="false"/>
          <w:bCs w:val="false"/>
          <w:sz w:val="24"/>
        </w:rPr>
      </w:pPr>
      <w:r>
        <w:rPr>
          <w:b w:val="false"/>
          <w:bCs w:val="false"/>
          <w:sz w:val="24"/>
        </w:rPr>
      </w:r>
    </w:p>
    <w:p>
      <w:pPr>
        <w:pStyle w:val="Heading"/>
        <w:jc w:val="start"/>
        <w:rPr/>
      </w:pPr>
      <w:r>
        <w:rPr>
          <w:sz w:val="24"/>
        </w:rPr>
        <w:t xml:space="preserve">Product:  </w:t>
      </w:r>
      <w:r>
        <w:rPr>
          <w:b w:val="false"/>
          <w:bCs w:val="false"/>
          <w:sz w:val="24"/>
        </w:rPr>
        <w:t>physical basis</w:t>
      </w:r>
    </w:p>
    <w:p>
      <w:pPr>
        <w:pStyle w:val="Heading"/>
        <w:jc w:val="start"/>
        <w:rPr>
          <w:b w:val="false"/>
          <w:bCs w:val="false"/>
          <w:sz w:val="24"/>
        </w:rPr>
      </w:pPr>
      <w:r>
        <w:rPr>
          <w:b w:val="false"/>
          <w:bCs w:val="false"/>
          <w:sz w:val="24"/>
        </w:rPr>
      </w:r>
    </w:p>
    <w:p>
      <w:pPr>
        <w:pStyle w:val="Heading"/>
        <w:jc w:val="start"/>
        <w:rPr/>
      </w:pPr>
      <w:r>
        <w:rPr>
          <w:sz w:val="24"/>
        </w:rPr>
        <w:t>Price:</w:t>
      </w:r>
      <w:r>
        <w:rPr>
          <w:b w:val="false"/>
          <w:bCs w:val="false"/>
          <w:sz w:val="24"/>
        </w:rPr>
        <w:t xml:space="preserve">  $1.53</w:t>
      </w:r>
    </w:p>
    <w:p>
      <w:pPr>
        <w:pStyle w:val="Heading"/>
        <w:jc w:val="start"/>
        <w:rPr>
          <w:b w:val="false"/>
          <w:bCs w:val="false"/>
          <w:sz w:val="24"/>
        </w:rPr>
      </w:pPr>
      <w:r>
        <w:rPr>
          <w:b w:val="false"/>
          <w:bCs w:val="false"/>
          <w:sz w:val="24"/>
        </w:rPr>
      </w:r>
    </w:p>
    <w:p>
      <w:pPr>
        <w:pStyle w:val="Heading"/>
        <w:jc w:val="start"/>
        <w:rPr>
          <w:b w:val="false"/>
          <w:bCs w:val="false"/>
          <w:sz w:val="24"/>
        </w:rPr>
      </w:pPr>
      <w:r>
        <w:rPr>
          <w:b w:val="false"/>
          <w:bCs w:val="false"/>
          <w:sz w:val="24"/>
        </w:rPr>
      </w:r>
    </w:p>
    <w:p>
      <w:pPr>
        <w:pStyle w:val="Heading"/>
        <w:jc w:val="start"/>
        <w:rPr>
          <w:b w:val="false"/>
          <w:bCs w:val="false"/>
          <w:sz w:val="24"/>
        </w:rPr>
      </w:pPr>
      <w:r>
        <w:rPr>
          <w:b w:val="false"/>
          <w:bCs w:val="false"/>
          <w:sz w:val="24"/>
        </w:rPr>
        <w:t>Conditions:</w:t>
      </w:r>
    </w:p>
    <w:p>
      <w:pPr>
        <w:pStyle w:val="Heading"/>
        <w:jc w:val="start"/>
        <w:rPr>
          <w:b w:val="false"/>
          <w:bCs w:val="false"/>
          <w:sz w:val="24"/>
        </w:rPr>
      </w:pPr>
      <w:r>
        <w:rPr>
          <w:b w:val="false"/>
          <w:bCs w:val="false"/>
          <w:sz w:val="24"/>
        </w:rPr>
        <w:tab/>
      </w:r>
    </w:p>
    <w:p>
      <w:pPr>
        <w:pStyle w:val="Heading"/>
        <w:numPr>
          <w:ilvl w:val="0"/>
          <w:numId w:val="1"/>
        </w:numPr>
        <w:jc w:val="start"/>
        <w:rPr>
          <w:b w:val="false"/>
          <w:bCs w:val="false"/>
          <w:sz w:val="24"/>
        </w:rPr>
      </w:pPr>
      <w:r>
        <w:rPr>
          <w:b w:val="false"/>
          <w:bCs w:val="false"/>
          <w:sz w:val="24"/>
        </w:rPr>
        <w:t>The transactions listed above shall be made in conjunction with each other.  Neither transaction shall be made without the other.</w:t>
      </w:r>
    </w:p>
    <w:p>
      <w:pPr>
        <w:pStyle w:val="Heading"/>
        <w:numPr>
          <w:ilvl w:val="0"/>
          <w:numId w:val="1"/>
        </w:numPr>
        <w:jc w:val="start"/>
        <w:rPr>
          <w:b w:val="false"/>
          <w:bCs w:val="false"/>
          <w:sz w:val="24"/>
        </w:rPr>
      </w:pPr>
      <w:r>
        <w:rPr>
          <w:b w:val="false"/>
          <w:bCs w:val="false"/>
          <w:sz w:val="24"/>
        </w:rPr>
        <w:t>Attached is a draft sample contract.  Once financial information is received from NCPA, a draft prepared specifically for NCPA will be sent.</w:t>
      </w:r>
    </w:p>
    <w:p>
      <w:pPr>
        <w:pStyle w:val="Heading"/>
        <w:numPr>
          <w:ilvl w:val="0"/>
          <w:numId w:val="1"/>
        </w:numPr>
        <w:jc w:val="start"/>
        <w:rPr>
          <w:b w:val="false"/>
          <w:bCs w:val="false"/>
          <w:sz w:val="24"/>
        </w:rPr>
      </w:pPr>
      <w:r>
        <w:rPr>
          <w:b w:val="false"/>
          <w:bCs w:val="false"/>
          <w:sz w:val="24"/>
        </w:rPr>
        <w:t>Once Buyer and Seller decide to enter into a definitive agreement, evidence of NCPA’s authority to transact will be requested by ENA</w:t>
      </w:r>
    </w:p>
    <w:p>
      <w:pPr>
        <w:pStyle w:val="Heading"/>
        <w:numPr>
          <w:ilvl w:val="0"/>
          <w:numId w:val="1"/>
        </w:numPr>
        <w:jc w:val="start"/>
        <w:rPr>
          <w:sz w:val="24"/>
          <w:u w:val="single"/>
        </w:rPr>
      </w:pPr>
      <w:r>
        <w:rPr>
          <w:b w:val="false"/>
          <w:bCs w:val="false"/>
          <w:sz w:val="24"/>
        </w:rPr>
        <w:t>The terms and conditions included in this proposal shall remain confidential between ENA and NCPA</w:t>
      </w:r>
    </w:p>
    <w:p>
      <w:pPr>
        <w:pStyle w:val="Heading"/>
        <w:numPr>
          <w:ilvl w:val="0"/>
          <w:numId w:val="1"/>
        </w:numPr>
        <w:jc w:val="start"/>
        <w:rPr>
          <w:sz w:val="24"/>
          <w:u w:val="single"/>
        </w:rPr>
      </w:pPr>
      <w:r>
        <w:rPr>
          <w:b w:val="false"/>
          <w:bCs w:val="false"/>
          <w:sz w:val="24"/>
        </w:rPr>
        <w:t>Prices are subject to change with market conditions until a definitive agreement is reached, including contract terms.</w:t>
      </w:r>
    </w:p>
    <w:p>
      <w:pPr>
        <w:pStyle w:val="Heading"/>
        <w:jc w:val="start"/>
        <w:rPr>
          <w:b w:val="false"/>
          <w:bCs w:val="false"/>
          <w:sz w:val="24"/>
          <w:u w:val="single"/>
        </w:rPr>
      </w:pPr>
      <w:r>
        <w:rPr>
          <w:b w:val="false"/>
          <w:bCs w:val="false"/>
          <w:sz w:val="24"/>
          <w:u w:val="single"/>
        </w:rPr>
      </w:r>
    </w:p>
    <w:p>
      <w:pPr>
        <w:pStyle w:val="Heading"/>
        <w:jc w:val="start"/>
        <w:rPr>
          <w:b w:val="false"/>
          <w:bCs w:val="false"/>
          <w:sz w:val="24"/>
        </w:rPr>
      </w:pPr>
      <w:r>
        <w:rPr>
          <w:b w:val="false"/>
          <w:bCs w:val="false"/>
          <w:sz w:val="24"/>
        </w:rPr>
      </w:r>
    </w:p>
    <w:p>
      <w:pPr>
        <w:pStyle w:val="Heading"/>
        <w:jc w:val="start"/>
        <w:rPr>
          <w:b w:val="false"/>
          <w:bCs w:val="false"/>
          <w:sz w:val="24"/>
        </w:rPr>
      </w:pPr>
      <w:r>
        <w:rPr>
          <w:b w:val="false"/>
          <w:bCs w:val="false"/>
          <w:sz w:val="24"/>
        </w:rPr>
      </w:r>
    </w:p>
    <w:p>
      <w:pPr>
        <w:pStyle w:val="Heading"/>
        <w:jc w:val="start"/>
        <w:rPr>
          <w:b w:val="false"/>
          <w:bCs w:val="false"/>
          <w:sz w:val="24"/>
        </w:rPr>
      </w:pPr>
      <w:r>
        <w:rPr>
          <w:b w:val="false"/>
          <w:bCs w:val="false"/>
          <w:sz w:val="24"/>
        </w:rPr>
      </w:r>
    </w:p>
    <w:p>
      <w:pPr>
        <w:pStyle w:val="Heading"/>
        <w:jc w:val="start"/>
        <w:rPr>
          <w:b w:val="false"/>
          <w:bCs w:val="false"/>
          <w:i/>
          <w:i/>
          <w:iCs/>
          <w:sz w:val="18"/>
        </w:rPr>
      </w:pPr>
      <w:r>
        <w:rPr>
          <w:b w:val="false"/>
          <w:bCs w:val="false"/>
          <w:i/>
          <w:iCs/>
          <w:sz w:val="18"/>
        </w:rPr>
        <w:t>This proposal is for discussion purposes only to facilitate the negotiation, preparation and execution of a definitive agreement.  It is not intended to create a binding or enforceable contract or to be complete and all inclusive of the terms of the related transaction.  This is not an offer or a commitment of ENA or any parent or affiliate of ENA.  The transaction described herein is subject to further review and approval of ENA and execution of definitive agreements containing all appropriate provisions.</w:t>
      </w:r>
    </w:p>
    <w:p>
      <w:pPr>
        <w:pStyle w:val="Heading"/>
        <w:jc w:val="start"/>
        <w:rPr>
          <w:b w:val="false"/>
          <w:bCs w:val="false"/>
          <w:i/>
          <w:i/>
          <w:iCs/>
          <w:sz w:val="18"/>
        </w:rPr>
      </w:pPr>
      <w:r>
        <w:rPr>
          <w:b w:val="false"/>
          <w:bCs w:val="false"/>
          <w:i/>
          <w:iCs/>
          <w:sz w:val="18"/>
        </w:rPr>
      </w:r>
    </w:p>
    <w:p>
      <w:pPr>
        <w:pStyle w:val="Heading"/>
        <w:jc w:val="start"/>
        <w:rPr>
          <w:b w:val="false"/>
          <w:bCs w:val="false"/>
          <w:i/>
          <w:i/>
          <w:iCs/>
          <w:sz w:val="24"/>
        </w:rPr>
      </w:pPr>
      <w:r>
        <w:rPr>
          <w:b w:val="false"/>
          <w:bCs w:val="false"/>
          <w:i/>
          <w:iCs/>
          <w:sz w:val="24"/>
        </w:rPr>
      </w:r>
    </w:p>
    <w:p>
      <w:pPr>
        <w:pStyle w:val="Heading"/>
        <w:jc w:val="start"/>
        <w:rPr>
          <w:b w:val="false"/>
          <w:bCs w:val="false"/>
          <w:sz w:val="24"/>
        </w:rPr>
      </w:pPr>
      <w:r>
        <w:rPr>
          <w:b w:val="false"/>
          <w:bCs w:val="false"/>
          <w:sz w:val="24"/>
        </w:rPr>
      </w:r>
    </w:p>
    <w:p>
      <w:pPr>
        <w:pStyle w:val="Normal"/>
        <w:jc w:val="center"/>
        <w:rPr>
          <w:b/>
          <w:bCs/>
          <w:sz w:val="32"/>
        </w:rPr>
      </w:pPr>
      <w:r>
        <w:rPr>
          <w:b/>
          <w:bCs/>
          <w:sz w:val="32"/>
        </w:rPr>
      </w:r>
    </w:p>
    <w:p>
      <w:pPr>
        <w:pStyle w:val="Normal"/>
        <w:jc w:val="center"/>
        <w:rPr>
          <w:b/>
          <w:bCs/>
          <w:sz w:val="32"/>
        </w:rPr>
      </w:pPr>
      <w:r>
        <w:rPr>
          <w:b/>
          <w:bCs/>
          <w:sz w:val="3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2001-10-22T13:59:00Z</dcterms:created>
  <dc:creator>kward</dc:creator>
  <dc:description/>
  <dc:language>en-CA</dc:language>
  <cp:lastModifiedBy>kward</cp:lastModifiedBy>
  <cp:lastPrinted>2001-10-22T11:57:00Z</cp:lastPrinted>
  <dcterms:modified xsi:type="dcterms:W3CDTF">2001-10-22T14:31:00Z</dcterms:modified>
  <cp:revision>7</cp:revision>
  <dc:subject/>
  <dc:title>Santa Clara Gas Supply Term Sheet</dc:title>
</cp:coreProperties>
</file>