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tabs>
          <w:tab w:val="clear" w:pos="4320"/>
          <w:tab w:val="clear" w:pos="8640"/>
        </w:tabs>
        <w:spacing w:lineRule="auto" w:line="480"/>
        <w:rPr/>
      </w:pPr>
      <w:r>
        <w:rPr/>
        <w:t>BEFORE THE NORTH CAROLINA UTILITIES COMMISSION</w:t>
      </w:r>
    </w:p>
    <w:p>
      <w:pPr>
        <w:pStyle w:val="Normal"/>
        <w:pBdr>
          <w:bottom w:val="single" w:sz="12" w:space="1" w:color="000000"/>
        </w:pBdr>
        <w:spacing w:lineRule="auto" w:line="480"/>
        <w:rPr/>
      </w:pPr>
      <w:r>
        <w:rPr/>
        <w:t>Docket No. G-100, SUB 84</w:t>
      </w:r>
    </w:p>
    <w:p>
      <w:pPr>
        <w:pStyle w:val="Normal"/>
        <w:spacing w:lineRule="auto" w:line="480"/>
        <w:rPr/>
      </w:pPr>
      <w:r>
        <w:rPr/>
      </w:r>
    </w:p>
    <w:p>
      <w:pPr>
        <w:pStyle w:val="Normal"/>
        <w:pBdr>
          <w:bottom w:val="single" w:sz="12" w:space="1" w:color="000000"/>
        </w:pBdr>
        <w:rPr/>
      </w:pPr>
      <w:r>
        <w:rPr/>
        <w:t>IN THE MATTER OF HEDGING COMMODITY COSTS BY NATURAL GAS LOCAL DISTRIBUTION COMPANIES</w:t>
      </w:r>
    </w:p>
    <w:p>
      <w:pPr>
        <w:pStyle w:val="Normal"/>
        <w:pBdr>
          <w:bottom w:val="single" w:sz="12" w:space="1" w:color="000000"/>
        </w:pBdr>
        <w:rPr/>
      </w:pPr>
      <w:r>
        <w:rPr/>
      </w:r>
    </w:p>
    <w:p>
      <w:pPr>
        <w:pStyle w:val="Heading1"/>
        <w:ind w:hanging="0" w:start="0"/>
        <w:rPr/>
      </w:pPr>
      <w:r>
        <w:rPr/>
      </w:r>
    </w:p>
    <w:p>
      <w:pPr>
        <w:pStyle w:val="Heading1"/>
        <w:pBdr>
          <w:bottom w:val="single" w:sz="12" w:space="1" w:color="000000"/>
        </w:pBdr>
        <w:ind w:hanging="0" w:start="0"/>
        <w:rPr>
          <w:b w:val="false"/>
          <w:bCs w:val="false"/>
        </w:rPr>
      </w:pPr>
      <w:r>
        <w:rPr>
          <w:b w:val="false"/>
          <w:bCs w:val="false"/>
        </w:rPr>
        <w:t xml:space="preserve">PETITION TO INTERVENE AND COMMENTS OF ENRON NORTH AMERICA Corp. </w:t>
      </w:r>
    </w:p>
    <w:p>
      <w:pPr>
        <w:pStyle w:val="Normal"/>
        <w:rPr>
          <w:b/>
          <w:bCs/>
        </w:rPr>
      </w:pPr>
      <w:r>
        <w:rPr>
          <w:b/>
          <w:bCs/>
        </w:rPr>
      </w:r>
    </w:p>
    <w:p>
      <w:pPr>
        <w:pStyle w:val="Heading2"/>
        <w:ind w:hanging="0" w:start="0"/>
        <w:rPr/>
      </w:pPr>
      <w:r>
        <w:rPr/>
        <w:t>INTRODUCTION</w:t>
      </w:r>
    </w:p>
    <w:p>
      <w:pPr>
        <w:pStyle w:val="Normal"/>
        <w:spacing w:lineRule="auto" w:line="480"/>
        <w:ind w:firstLine="720" w:end="0"/>
        <w:rPr/>
      </w:pPr>
      <w:r>
        <w:rPr/>
        <w:t>Enron North America Corp. (“Enron”), a division of Enron Corp., respectfully petitions the North Carolina Utilities Commission (“Commission”) to allow its intervention in the referenced docket and concurrently submits the following comments for consideration in the Commission’s timely investigation of the use of hedging instruments by natural gas local distribution companies.</w:t>
      </w:r>
    </w:p>
    <w:p>
      <w:pPr>
        <w:pStyle w:val="BodyTextIndent2"/>
        <w:rPr/>
      </w:pPr>
      <w:r>
        <w:rPr/>
        <w:t xml:space="preserve">Enron fully agrees with the general consensus reached by the participants to the informal proceedings conducted in late March and early April of this year that the price of natural gas has become increasingly volatile and will remain volatile for the foreseeable future.  While this volatility can be attributed to a number of factors that cannot be directly controlled by the distribution company, the impact of this volatility on end-use customers can be successfully mitigated or managed through the use of various hedging mechanisms currently available in today’s marketplace.  These risk-mitigation products have been available for some time and have become increasingly flexible and can be tailored to the specific needs and risk attributes of its user.  However, widespread use of hedging instruments by natural gas distribution companies has not been observed to date due to the regulatory uncertainty associated with the timely approval and full recovery of the cost of gas supplies acquired at prices other than at market.  </w:t>
      </w:r>
    </w:p>
    <w:p>
      <w:pPr>
        <w:pStyle w:val="Normal"/>
        <w:spacing w:lineRule="auto" w:line="480"/>
        <w:ind w:firstLine="720" w:end="0"/>
        <w:rPr/>
      </w:pPr>
      <w:r>
        <w:rPr/>
        <w:t>To encourage natural gas distribution companies to employ the various hedging instruments that are currently available and that can result in the desirable effect of stable prices for its customers in an environment of increasing price volatility, the Commission must establish rules and policies that, upfront, provide gas utilities with guidance and some assurance with respect to the treatment of costs incurred as a result of the use of price risk hedging tools.</w:t>
      </w:r>
    </w:p>
    <w:p>
      <w:pPr>
        <w:pStyle w:val="BodyTextIndent2"/>
        <w:rPr/>
      </w:pPr>
      <w:r>
        <w:rPr/>
        <w:t>In this regard, Enron appreciates the opportunity to address risk management hedging mechanisms in general, and specifically, the Commission’s questions raised in its Order Initiating Investigation and Requesting Comments.</w:t>
      </w:r>
    </w:p>
    <w:p>
      <w:pPr>
        <w:pStyle w:val="Heading3"/>
        <w:rPr>
          <w:u w:val="single"/>
        </w:rPr>
      </w:pPr>
      <w:r>
        <w:rPr>
          <w:u w:val="single"/>
        </w:rPr>
        <w:t>QUESTIONS RAISED BY THE COMMISSION</w:t>
      </w:r>
    </w:p>
    <w:p>
      <w:pPr>
        <w:pStyle w:val="BodyTextIndent"/>
        <w:numPr>
          <w:ilvl w:val="0"/>
          <w:numId w:val="2"/>
        </w:numPr>
        <w:rPr>
          <w:b/>
          <w:bCs/>
        </w:rPr>
      </w:pPr>
      <w:r>
        <w:rPr>
          <w:b/>
          <w:bCs/>
          <w:i/>
          <w:iCs/>
        </w:rPr>
        <w:t>Whether or not LDCs should hedge;</w:t>
      </w:r>
    </w:p>
    <w:p>
      <w:pPr>
        <w:pStyle w:val="BodyTextIndent"/>
        <w:ind w:firstLine="720" w:start="0" w:end="0"/>
        <w:rPr/>
      </w:pPr>
      <w:r>
        <w:rPr/>
        <w:t>In restructured natural gas markets where customers have been given retail choice, consumers have the ability to choose among suppliers offering various pricing terms and hedges that will satisfy their individual needs and risk attributes.  However, Enron believes that, to the extent the gas distribution utility has the obligation to procure its customers’ gas supply requirements (in markets where customers do not have choice), the utility also has the obligation to exercise gas procurement strategies that ensure reliable supplies at stable prices.  Enron does not believe that stability in prices should be achieved through the use of price caps or cost deferral mechanisms.  Pricing mechanisms that hide the true cost to the end-user or defer the impact of cost increases do not send the appropriate price signal to end-use customers and will not result in the most efficient and responsible use of the natural gas commodity.  Hedging can help distribution companies achieve price stability, while at the same time, reflect the true cost of securing its customers’ gas supply requirements.  In that regard, the Commission should encourage and promote hedging and price risk management strategies and allow the recovery of costs associated with implementing such strategies in a Commission approved cost flow-through mechanism.</w:t>
      </w:r>
    </w:p>
    <w:p>
      <w:pPr>
        <w:pStyle w:val="BodyTextIndent"/>
        <w:numPr>
          <w:ilvl w:val="0"/>
          <w:numId w:val="2"/>
        </w:numPr>
        <w:rPr>
          <w:b/>
          <w:bCs/>
          <w:i/>
          <w:i/>
          <w:iCs/>
        </w:rPr>
      </w:pPr>
      <w:r>
        <w:rPr>
          <w:b/>
          <w:bCs/>
          <w:i/>
          <w:iCs/>
        </w:rPr>
        <w:t>Whether hedging should be voluntary or mandatory;</w:t>
      </w:r>
    </w:p>
    <w:p>
      <w:pPr>
        <w:pStyle w:val="BodyTextIndent"/>
        <w:ind w:firstLine="720" w:start="0" w:end="0"/>
        <w:rPr/>
      </w:pPr>
      <w:r>
        <w:rPr/>
        <w:t>Natural gas distribution companies should be required, as a matter of policy, to employ risk management strategies that will result in reliable supplies at stable prices.  To the extent a distribution company does not utilize a risk management strategy in accordance with Commission approved guidelines, the distribution company should not be allowed to pass on price increases to its customers beyond an established benchmark.</w:t>
      </w:r>
    </w:p>
    <w:p>
      <w:pPr>
        <w:pStyle w:val="BodyTextIndent"/>
        <w:numPr>
          <w:ilvl w:val="0"/>
          <w:numId w:val="2"/>
        </w:numPr>
        <w:rPr>
          <w:b/>
          <w:bCs/>
          <w:i/>
          <w:i/>
          <w:iCs/>
        </w:rPr>
      </w:pPr>
      <w:r>
        <w:rPr>
          <w:b/>
          <w:bCs/>
          <w:i/>
          <w:iCs/>
        </w:rPr>
        <w:t>How hedging should be accomplished, including what hedging mechanisms should be used and what percent of the LDC’s supply portfolio should be hedged;</w:t>
      </w:r>
    </w:p>
    <w:p>
      <w:pPr>
        <w:pStyle w:val="BodyTextIndent"/>
        <w:ind w:firstLine="720" w:start="0" w:end="0"/>
        <w:rPr/>
      </w:pPr>
      <w:r>
        <w:rPr/>
        <w:t>As mentioned above, there are various price risk management tools currently available in the marketplace.   Basic risk management products include, but are not limited to,  the following:</w:t>
      </w:r>
    </w:p>
    <w:p>
      <w:pPr>
        <w:pStyle w:val="BodyTextIndent"/>
        <w:ind w:firstLine="720" w:start="0" w:end="0"/>
        <w:rPr/>
      </w:pPr>
      <w:r>
        <w:rPr>
          <w:b/>
          <w:bCs/>
        </w:rPr>
        <w:t>Forward Contract</w:t>
      </w:r>
      <w:r>
        <w:rPr/>
        <w:t xml:space="preserve"> – A current obligation on the part of one party to buy and accept and another party to sell and deliver a specified quantity of gas, at a specified price, at a specific time in the future.</w:t>
      </w:r>
    </w:p>
    <w:p>
      <w:pPr>
        <w:pStyle w:val="BodyTextIndent"/>
        <w:ind w:firstLine="720" w:start="0" w:end="0"/>
        <w:rPr/>
      </w:pPr>
      <w:r>
        <w:rPr>
          <w:b/>
          <w:bCs/>
        </w:rPr>
        <w:t xml:space="preserve">Future Contract </w:t>
      </w:r>
      <w:r>
        <w:rPr/>
        <w:t>– The same as a Forward Contract, except done through an organized exchange such as NYMEX.</w:t>
      </w:r>
    </w:p>
    <w:p>
      <w:pPr>
        <w:pStyle w:val="BodyTextIndent"/>
        <w:ind w:firstLine="720" w:start="0" w:end="0"/>
        <w:rPr/>
      </w:pPr>
      <w:r>
        <w:rPr>
          <w:b/>
          <w:bCs/>
        </w:rPr>
        <w:t xml:space="preserve">Put Option </w:t>
      </w:r>
      <w:r>
        <w:rPr/>
        <w:t>– The right (but not the obligation) for a specified period of time to sell a specified quantity of gas at a specified price.  The selling party is obligated if the right is exercised.</w:t>
      </w:r>
    </w:p>
    <w:p>
      <w:pPr>
        <w:pStyle w:val="BodyTextIndent"/>
        <w:ind w:firstLine="720" w:start="0" w:end="0"/>
        <w:rPr/>
      </w:pPr>
      <w:r>
        <w:rPr>
          <w:b/>
          <w:bCs/>
        </w:rPr>
        <w:t>Call Option</w:t>
      </w:r>
      <w:r>
        <w:rPr/>
        <w:t xml:space="preserve"> – The right (but not the obligation) for a specified period of time to purchase a specified quantity of gas at a specified price.  The selling party is obligated if the right is exercised.</w:t>
      </w:r>
    </w:p>
    <w:p>
      <w:pPr>
        <w:pStyle w:val="BodyTextIndent"/>
        <w:ind w:firstLine="720" w:start="0" w:end="0"/>
        <w:rPr/>
      </w:pPr>
      <w:r>
        <w:rPr>
          <w:b/>
          <w:bCs/>
        </w:rPr>
        <w:t>Price Ceiling</w:t>
      </w:r>
      <w:r>
        <w:rPr/>
        <w:t xml:space="preserve"> – A mechanism for creating a maximum price to which a purchasing party may be exposed.  Below that maximum price the purchasing party will pay the floating price.</w:t>
      </w:r>
    </w:p>
    <w:p>
      <w:pPr>
        <w:pStyle w:val="BodyTextIndent"/>
        <w:ind w:firstLine="720" w:start="0" w:end="0"/>
        <w:rPr/>
      </w:pPr>
      <w:r>
        <w:rPr>
          <w:b/>
          <w:bCs/>
        </w:rPr>
        <w:t>Price Floor</w:t>
      </w:r>
      <w:r>
        <w:rPr/>
        <w:t xml:space="preserve"> – A mechanism for creating a minimum price to which a selling party may be exposed.  Above that minimum price the selling party will receive the floating price.</w:t>
      </w:r>
    </w:p>
    <w:p>
      <w:pPr>
        <w:pStyle w:val="BodyTextIndent"/>
        <w:ind w:firstLine="720" w:start="0" w:end="0"/>
        <w:rPr/>
      </w:pPr>
      <w:r>
        <w:rPr>
          <w:b/>
          <w:bCs/>
        </w:rPr>
        <w:t>Price Collar</w:t>
      </w:r>
      <w:r>
        <w:rPr/>
        <w:t xml:space="preserve"> – A combination of a Price Ceiling and Price Floor that creates a “collar” around a band of price risk that a party is willing to accept.  A party seeking the protection of a price collar, whether a seller or a buyer, is essentially trading potential market upside for a limitation on potential market downside.</w:t>
      </w:r>
    </w:p>
    <w:p>
      <w:pPr>
        <w:pStyle w:val="BodyTextIndent"/>
        <w:ind w:firstLine="720" w:start="0" w:end="0"/>
        <w:rPr/>
      </w:pPr>
      <w:r>
        <w:rPr>
          <w:b/>
          <w:bCs/>
        </w:rPr>
        <w:t>Price Swaps</w:t>
      </w:r>
      <w:r>
        <w:rPr/>
        <w:t xml:space="preserve"> – An exchange of payments between two parties, one of whom pays a fixed price while the other pays a specified index or floating price.  Only net payments change hands.  There is not an actual sale of the commodity involved.</w:t>
      </w:r>
    </w:p>
    <w:p>
      <w:pPr>
        <w:pStyle w:val="BodyTextIndent"/>
        <w:ind w:firstLine="720" w:start="0" w:end="0"/>
        <w:rPr/>
      </w:pPr>
      <w:r>
        <w:rPr/>
        <w:t>As can be seen, there are numerous established price hedging tools that are available to the gas distribution utility.  Some of these tools can be used in tandem with one another. There are also various hedging products to mitigate the risks and exposure of weather to the utility and its customers.   Enron believes that a well-balanced hedging program should be utilized without mandate with regard to the use of a particular hedging mechanism or the level of gas supplies which should be hedged.  As with any portfolio, there should be a mixture of various types of gas supply contracts and pricing provisions.  This will give maximum flexibility to the gas utility in choosing a mechanism that is best suited to its unique customer requirements, risk tolerance and external environmental factors.  For example, a company with significant storage capacity rights might require less of its gas supply requirements to be hedged, as storage acts as a natural hedge against sharp winter price increases.</w:t>
      </w:r>
    </w:p>
    <w:p>
      <w:pPr>
        <w:pStyle w:val="BodyTextIndent"/>
        <w:numPr>
          <w:ilvl w:val="0"/>
          <w:numId w:val="2"/>
        </w:numPr>
        <w:rPr>
          <w:b/>
          <w:bCs/>
          <w:i/>
          <w:i/>
          <w:iCs/>
        </w:rPr>
      </w:pPr>
      <w:r>
        <w:rPr>
          <w:b/>
          <w:bCs/>
          <w:i/>
          <w:iCs/>
        </w:rPr>
        <w:t>Who should bear the risks and costs of hedging;</w:t>
      </w:r>
    </w:p>
    <w:p>
      <w:pPr>
        <w:pStyle w:val="BodyTextIndent"/>
        <w:ind w:firstLine="720" w:start="0" w:end="0"/>
        <w:rPr/>
      </w:pPr>
      <w:r>
        <w:rPr/>
        <w:t xml:space="preserve">Price hedging strategies should be incorporated into the natural gas distribution utility’s gas procurement activities and therefore should be considered a legitimate cost associated with procuring the utility customers’ natural gas requirements.  Based on general guidelines established by the Commission, utilities would file a gas procurement plan (perhaps for the upcoming gas purchase year) describing their strategies and use of price hedging mechanisms.  The company’s purchase plan would be pre-approved by the Commission, subject to the parameters to be established by the Commission for an effectively hedged portfolio.  </w:t>
      </w:r>
    </w:p>
    <w:p>
      <w:pPr>
        <w:pStyle w:val="BodyTextIndent"/>
        <w:numPr>
          <w:ilvl w:val="0"/>
          <w:numId w:val="2"/>
        </w:numPr>
        <w:rPr>
          <w:b/>
          <w:bCs/>
          <w:i/>
          <w:i/>
          <w:iCs/>
        </w:rPr>
      </w:pPr>
      <w:r>
        <w:rPr>
          <w:b/>
          <w:bCs/>
          <w:i/>
          <w:iCs/>
        </w:rPr>
        <w:t>How the Commission should regulate and oversee hedging activities.</w:t>
      </w:r>
    </w:p>
    <w:p>
      <w:pPr>
        <w:pStyle w:val="BodyTextIndent"/>
        <w:ind w:firstLine="720" w:start="0" w:end="0"/>
        <w:rPr/>
      </w:pPr>
      <w:r>
        <w:rPr/>
        <w:t>Because of the unique circumstances of each natural gas distribution company it is more likely than not that one distribution company’s hedging program will be different in terms of scope and the hedging tools utilized than another distribution company’s program.  Consequently, regulation and oversight of the hedging activities associated with a company’s procurement activities should allow operational flexibility while still maintaining a sufficient level of oversight.  In order for the program to be effective, it is imperative that the evaluation of a company’s program and procurement costs not be done on a “hindsight” basis.  The prudence of a company’s purchase decisions should be based upon the facts at the time that the company made those decisions, not on an “after the fact evaluation”.</w:t>
      </w:r>
    </w:p>
    <w:p>
      <w:pPr>
        <w:pStyle w:val="BodyTextIndent"/>
        <w:ind w:start="0" w:end="0"/>
        <w:rPr/>
      </w:pPr>
      <w:r>
        <w:rPr/>
      </w:r>
    </w:p>
    <w:p>
      <w:pPr>
        <w:pStyle w:val="BodyTextIndent"/>
        <w:ind w:start="0" w:end="0"/>
        <w:rPr/>
      </w:pPr>
      <w:r>
        <w:rPr/>
        <w:t>Dated this 2</w:t>
      </w:r>
      <w:r>
        <w:rPr>
          <w:vertAlign w:val="superscript"/>
        </w:rPr>
        <w:t>nd</w:t>
      </w:r>
      <w:r>
        <w:rPr/>
        <w:t xml:space="preserve"> day of July, 2001</w:t>
      </w:r>
    </w:p>
    <w:p>
      <w:pPr>
        <w:pStyle w:val="BodyTextIndent"/>
        <w:ind w:start="4320" w:end="0"/>
        <w:rPr/>
      </w:pPr>
      <w:r>
        <w:rPr/>
        <w:t>Respectfully submitted,</w:t>
      </w:r>
    </w:p>
    <w:p>
      <w:pPr>
        <w:pStyle w:val="BodyTextIndent"/>
        <w:ind w:start="0" w:end="0"/>
        <w:rPr/>
      </w:pPr>
      <w:r>
        <w:rPr/>
        <w:tab/>
        <w:tab/>
        <w:tab/>
        <w:tab/>
        <w:tab/>
        <w:tab/>
      </w:r>
    </w:p>
    <w:p>
      <w:pPr>
        <w:pStyle w:val="BodyTextIndent"/>
        <w:ind w:start="0" w:end="0"/>
        <w:rPr/>
      </w:pPr>
      <w:r>
        <w:rPr/>
        <w:tab/>
        <w:tab/>
        <w:tab/>
        <w:tab/>
        <w:tab/>
        <w:tab/>
        <w:t>_____________________________</w:t>
        <w:tab/>
        <w:tab/>
      </w:r>
    </w:p>
    <w:p>
      <w:pPr>
        <w:pStyle w:val="BodyTextIndent"/>
        <w:spacing w:lineRule="auto" w:line="240"/>
        <w:ind w:firstLine="720" w:start="3600" w:end="0"/>
        <w:rPr/>
      </w:pPr>
      <w:r>
        <w:rPr/>
        <w:t xml:space="preserve">Steve Montovano </w:t>
      </w:r>
    </w:p>
    <w:p>
      <w:pPr>
        <w:pStyle w:val="BodyTextIndent"/>
        <w:spacing w:lineRule="auto" w:line="240"/>
        <w:ind w:firstLine="720" w:start="3600" w:end="0"/>
        <w:rPr/>
      </w:pPr>
      <w:r>
        <w:rPr/>
        <w:t xml:space="preserve">Sr. Director Government Affairs </w:t>
      </w:r>
    </w:p>
    <w:p>
      <w:pPr>
        <w:pStyle w:val="BodyTextIndent"/>
        <w:spacing w:lineRule="auto" w:line="240"/>
        <w:ind w:firstLine="720" w:start="3600" w:end="0"/>
        <w:rPr/>
      </w:pPr>
      <w:r>
        <w:rPr/>
        <w:t>Enron Corp.</w:t>
      </w:r>
    </w:p>
    <w:p>
      <w:pPr>
        <w:pStyle w:val="BodyTextIndent"/>
        <w:spacing w:lineRule="auto" w:line="240"/>
        <w:ind w:firstLine="720" w:start="3600" w:end="0"/>
        <w:rPr/>
      </w:pPr>
      <w:r>
        <w:rPr/>
        <w:t>400 Metro Place North</w:t>
      </w:r>
    </w:p>
    <w:p>
      <w:pPr>
        <w:pStyle w:val="BodyTextIndent"/>
        <w:spacing w:lineRule="auto" w:line="240"/>
        <w:ind w:firstLine="720" w:start="3600" w:end="0"/>
        <w:rPr/>
      </w:pPr>
      <w:r>
        <w:rPr/>
        <w:t>Dublin, OH 43017-3375</w:t>
      </w:r>
    </w:p>
    <w:p>
      <w:pPr>
        <w:pStyle w:val="BodyTextIndent"/>
        <w:spacing w:lineRule="auto" w:line="240"/>
        <w:ind w:firstLine="720" w:start="3600" w:end="0"/>
        <w:rPr/>
      </w:pPr>
      <w:r>
        <w:rPr/>
        <w:t>(614) 792-6030</w:t>
      </w:r>
    </w:p>
    <w:p>
      <w:pPr>
        <w:pStyle w:val="BodyTextIndent"/>
        <w:spacing w:lineRule="auto" w:line="240"/>
        <w:ind w:start="0" w:end="0"/>
        <w:rPr/>
      </w:pPr>
      <w:r>
        <w:rPr/>
      </w:r>
    </w:p>
    <w:p>
      <w:pPr>
        <w:pStyle w:val="BodyTextIndent"/>
        <w:ind w:start="0" w:end="0"/>
        <w:rPr/>
      </w:pPr>
      <w:r>
        <w:rPr/>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110"/>
        </w:tabs>
        <w:ind w:start="1110" w:hanging="390"/>
      </w:pPr>
      <w:rPr>
        <w:i/>
      </w:r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lineRule="auto" w:line="480"/>
      <w:outlineLvl w:val="0"/>
    </w:pPr>
    <w:rPr>
      <w:b/>
      <w:bCs/>
    </w:rPr>
  </w:style>
  <w:style w:type="paragraph" w:styleId="Heading2">
    <w:name w:val="heading 2"/>
    <w:basedOn w:val="Normal"/>
    <w:next w:val="Normal"/>
    <w:qFormat/>
    <w:pPr>
      <w:keepNext w:val="true"/>
      <w:numPr>
        <w:ilvl w:val="1"/>
        <w:numId w:val="1"/>
      </w:numPr>
      <w:spacing w:lineRule="auto" w:line="480"/>
      <w:jc w:val="center"/>
      <w:outlineLvl w:val="1"/>
    </w:pPr>
    <w:rPr>
      <w:b/>
      <w:bCs/>
      <w:u w:val="single"/>
    </w:rPr>
  </w:style>
  <w:style w:type="paragraph" w:styleId="Heading3">
    <w:name w:val="heading 3"/>
    <w:basedOn w:val="Normal"/>
    <w:next w:val="Normal"/>
    <w:qFormat/>
    <w:pPr>
      <w:keepNext w:val="true"/>
      <w:numPr>
        <w:ilvl w:val="2"/>
        <w:numId w:val="1"/>
      </w:numPr>
      <w:spacing w:lineRule="auto" w:line="480"/>
      <w:ind w:firstLine="720" w:start="0" w:end="0"/>
      <w:jc w:val="center"/>
      <w:outlineLvl w:val="2"/>
    </w:pPr>
    <w:rPr>
      <w:b/>
      <w:bCs/>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i/>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uto" w:line="480"/>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spacing w:lineRule="auto" w:line="480"/>
      <w:ind w:firstLine="720" w:start="0" w:end="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2001-07-02T20:25:00Z</dcterms:created>
  <dc:creator>rneusta</dc:creator>
  <dc:description/>
  <dc:language>en-CA</dc:language>
  <cp:lastModifiedBy>jthome</cp:lastModifiedBy>
  <cp:lastPrinted>2001-07-02T17:53:00Z</cp:lastPrinted>
  <dcterms:modified xsi:type="dcterms:W3CDTF">2001-07-02T20:25:00Z</dcterms:modified>
  <cp:revision>2</cp:revision>
  <dc:subject/>
  <dc:title>BEFORE THE NORTH CAROLINA UTILITIES COMMISSION</dc:title>
</cp:coreProperties>
</file>