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t>August 30, 2000</w:t>
      </w:r>
    </w:p>
    <w:p>
      <w:pPr>
        <w:pStyle w:val="Normal"/>
        <w:rPr>
          <w:sz w:val="22"/>
        </w:rPr>
      </w:pPr>
      <w:r>
        <w:rPr>
          <w:sz w:val="22"/>
        </w:rPr>
      </w:r>
    </w:p>
    <w:p>
      <w:pPr>
        <w:pStyle w:val="Normal"/>
        <w:rPr>
          <w:sz w:val="22"/>
        </w:rPr>
      </w:pPr>
      <w:r>
        <w:rPr>
          <w:sz w:val="22"/>
        </w:rPr>
        <w:t>Mr. Roger Westbrook</w:t>
      </w:r>
    </w:p>
    <w:p>
      <w:pPr>
        <w:pStyle w:val="Normal"/>
        <w:rPr>
          <w:sz w:val="22"/>
        </w:rPr>
      </w:pPr>
      <w:r>
        <w:rPr>
          <w:sz w:val="22"/>
        </w:rPr>
        <w:t>ENRON Gas Pipeline Group</w:t>
      </w:r>
    </w:p>
    <w:p>
      <w:pPr>
        <w:pStyle w:val="Normal"/>
        <w:rPr>
          <w:sz w:val="22"/>
        </w:rPr>
      </w:pPr>
      <w:r>
        <w:rPr>
          <w:sz w:val="22"/>
        </w:rPr>
        <w:t>P.O. Box 1188</w:t>
      </w:r>
    </w:p>
    <w:p>
      <w:pPr>
        <w:pStyle w:val="Normal"/>
        <w:rPr>
          <w:sz w:val="22"/>
        </w:rPr>
      </w:pPr>
      <w:r>
        <w:rPr>
          <w:sz w:val="22"/>
        </w:rPr>
        <w:t>Houston, TX  77251-1188</w:t>
      </w:r>
    </w:p>
    <w:p>
      <w:pPr>
        <w:pStyle w:val="Footer"/>
        <w:tabs>
          <w:tab w:val="clear" w:pos="4320"/>
          <w:tab w:val="clear" w:pos="8640"/>
        </w:tabs>
        <w:rPr>
          <w:sz w:val="22"/>
        </w:rPr>
      </w:pPr>
      <w:r>
        <w:rPr>
          <w:sz w:val="22"/>
        </w:rPr>
      </w:r>
    </w:p>
    <w:p>
      <w:pPr>
        <w:pStyle w:val="Normal"/>
        <w:tabs>
          <w:tab w:val="clear" w:pos="720"/>
          <w:tab w:val="left" w:pos="540" w:leader="none"/>
        </w:tabs>
        <w:ind w:hanging="540" w:start="540" w:end="0"/>
        <w:jc w:val="start"/>
        <w:rPr>
          <w:sz w:val="22"/>
        </w:rPr>
      </w:pPr>
      <w:r>
        <w:rPr>
          <w:sz w:val="22"/>
        </w:rPr>
        <w:t>RE:</w:t>
        <w:tab/>
        <w:t>Description of Groundwater Remediation Activities</w:t>
      </w:r>
    </w:p>
    <w:p>
      <w:pPr>
        <w:pStyle w:val="Normal"/>
        <w:tabs>
          <w:tab w:val="clear" w:pos="720"/>
          <w:tab w:val="left" w:pos="540" w:leader="none"/>
        </w:tabs>
        <w:ind w:hanging="540" w:start="540" w:end="0"/>
        <w:rPr>
          <w:sz w:val="22"/>
        </w:rPr>
      </w:pPr>
      <w:r>
        <w:rPr>
          <w:sz w:val="22"/>
        </w:rPr>
        <w:tab/>
        <w:t>at the Former TW North Crawar Compressor Station</w:t>
      </w:r>
    </w:p>
    <w:p>
      <w:pPr>
        <w:pStyle w:val="Normal"/>
        <w:rPr>
          <w:sz w:val="22"/>
        </w:rPr>
      </w:pPr>
      <w:r>
        <w:rPr>
          <w:sz w:val="22"/>
        </w:rPr>
      </w:r>
    </w:p>
    <w:p>
      <w:pPr>
        <w:pStyle w:val="Footer"/>
        <w:tabs>
          <w:tab w:val="clear" w:pos="4320"/>
          <w:tab w:val="clear" w:pos="8640"/>
        </w:tabs>
        <w:rPr>
          <w:sz w:val="22"/>
        </w:rPr>
      </w:pPr>
      <w:r>
        <w:rPr>
          <w:sz w:val="22"/>
        </w:rPr>
        <w:t>Dear Roger,</w:t>
      </w:r>
    </w:p>
    <w:p>
      <w:pPr>
        <w:pStyle w:val="Normal"/>
        <w:rPr>
          <w:sz w:val="22"/>
        </w:rPr>
      </w:pPr>
      <w:r>
        <w:rPr>
          <w:sz w:val="22"/>
        </w:rPr>
      </w:r>
    </w:p>
    <w:p>
      <w:pPr>
        <w:pStyle w:val="Normal"/>
        <w:rPr>
          <w:sz w:val="22"/>
        </w:rPr>
      </w:pPr>
      <w:r>
        <w:rPr>
          <w:sz w:val="22"/>
        </w:rPr>
        <w:t xml:space="preserve">The purpose of this letter is to provide you with a brief description of the ongoing assessment and remediation activities for affected groundwater at the former TW North Crawar facility. The intent is that this information will facilitate your efforts to obtain access to off-site property so that full implementation of the remediation system can be completed. </w:t>
      </w:r>
    </w:p>
    <w:p>
      <w:pPr>
        <w:pStyle w:val="Heading2"/>
        <w:ind w:hanging="0" w:start="0"/>
        <w:rPr>
          <w:sz w:val="22"/>
        </w:rPr>
      </w:pPr>
      <w:r>
        <w:rPr>
          <w:sz w:val="22"/>
        </w:rPr>
        <w:t>Facility Background</w:t>
      </w:r>
    </w:p>
    <w:p>
      <w:pPr>
        <w:pStyle w:val="BodyText"/>
        <w:rPr>
          <w:sz w:val="22"/>
        </w:rPr>
      </w:pPr>
      <w:r>
        <w:rPr>
          <w:sz w:val="22"/>
        </w:rPr>
      </w:r>
    </w:p>
    <w:p>
      <w:pPr>
        <w:pStyle w:val="BodyText"/>
        <w:rPr>
          <w:sz w:val="22"/>
        </w:rPr>
      </w:pPr>
      <w:r>
        <w:rPr>
          <w:sz w:val="22"/>
        </w:rPr>
        <w:t>The North Crawar Compressor Station is an inactive natural gas pipeline compressor station facility. The facility is currently owned by Duke Energy. Duke had acquired the facility through the acquisition of Union Pacific Resources, which had acquired the facility through the acquisition of Highlands Gas Corporation, which had acquired the facility from Transwestern Pipeline Company (TW) in September 1995 in a bundled asset purchase which included several other TW facilities. TW has retained liability for groundwater remediation activities as a condition of the original sale agreement between TW and Highlands Gas Corporation. Highlands removed the natural gas compression equipment from the site in 1996 and the facility is no longer in service.</w:t>
      </w:r>
    </w:p>
    <w:p>
      <w:pPr>
        <w:pStyle w:val="Normal"/>
        <w:rPr>
          <w:sz w:val="22"/>
        </w:rPr>
      </w:pPr>
      <w:r>
        <w:rPr>
          <w:sz w:val="22"/>
        </w:rPr>
      </w:r>
    </w:p>
    <w:p>
      <w:pPr>
        <w:pStyle w:val="Normal"/>
        <w:rPr>
          <w:sz w:val="22"/>
        </w:rPr>
      </w:pPr>
      <w:r>
        <w:rPr>
          <w:sz w:val="22"/>
        </w:rPr>
        <w:t xml:space="preserve">The facility was constructed in 1979 on 2.1 acres of property leased by TW from a private property owner. The facility is located within the Crawar oil field, about eight miles southeast of Monahans, Texas in Ward County (Figure 1). Property surrounding the facility is used for cattle ranching and oil and gas production. </w:t>
      </w:r>
    </w:p>
    <w:p>
      <w:pPr>
        <w:pStyle w:val="Normal"/>
        <w:rPr>
          <w:sz w:val="22"/>
        </w:rPr>
      </w:pPr>
      <w:r>
        <w:rPr>
          <w:sz w:val="22"/>
        </w:rPr>
      </w:r>
    </w:p>
    <w:p>
      <w:pPr>
        <w:pStyle w:val="Normal"/>
        <w:rPr>
          <w:sz w:val="22"/>
        </w:rPr>
      </w:pPr>
      <w:r>
        <w:rPr>
          <w:sz w:val="22"/>
        </w:rPr>
        <w:t>The original facility construction included a concrete lined surface impoundment located in the southeast corner of the site (Figure 2). The impoundment received natural gas condensate liquids discharged from the natural gas pipeline inlet scrubber and from the compressor unit fuel gas scrubber. The impoundment was closed by TW in April 1993, at which time the concrete liner was removed, near surface soil was excavated, and the impoundment area was backfilled and capped with a soil concrete mixture. The impoundment was subsequently found to be a source of hydrocarbon impacts to groundwater.</w:t>
      </w:r>
    </w:p>
    <w:p>
      <w:pPr>
        <w:pStyle w:val="Heading2"/>
        <w:ind w:hanging="0" w:start="0"/>
        <w:rPr>
          <w:sz w:val="22"/>
        </w:rPr>
      </w:pPr>
      <w:r>
        <w:rPr>
          <w:sz w:val="22"/>
        </w:rPr>
        <w:t>Groundwater Assessment Activities</w:t>
      </w:r>
    </w:p>
    <w:p>
      <w:pPr>
        <w:pStyle w:val="Normal"/>
        <w:rPr>
          <w:sz w:val="22"/>
        </w:rPr>
      </w:pPr>
      <w:r>
        <w:rPr>
          <w:sz w:val="22"/>
        </w:rPr>
      </w:r>
    </w:p>
    <w:p>
      <w:pPr>
        <w:pStyle w:val="Normal"/>
        <w:rPr>
          <w:sz w:val="22"/>
        </w:rPr>
      </w:pPr>
      <w:r>
        <w:rPr>
          <w:sz w:val="22"/>
        </w:rPr>
        <w:t xml:space="preserve">In December 1994, TW discovered that shallow groundwater beneath the southeast corner of the facility was affected with petroleum hydrocarbon contaminants. Since its discovery, TW has implemented a program to assess affected groundwater. </w:t>
      </w:r>
    </w:p>
    <w:p>
      <w:pPr>
        <w:pStyle w:val="Normal"/>
        <w:rPr>
          <w:sz w:val="22"/>
        </w:rPr>
      </w:pPr>
      <w:r>
        <w:rPr>
          <w:sz w:val="22"/>
        </w:rPr>
      </w:r>
    </w:p>
    <w:p>
      <w:pPr>
        <w:pStyle w:val="Normal"/>
        <w:rPr>
          <w:sz w:val="22"/>
        </w:rPr>
      </w:pPr>
      <w:r>
        <w:rPr>
          <w:sz w:val="22"/>
        </w:rPr>
        <w:t xml:space="preserve">The primary source of contaminants was a release of waste liquids from a former impoundment located in the southeast corner of the facility. The location of the impoundment is indicated on Figure 2 and is identified as the “burn pit”. The primary contaminants of concern are petroleum hydrocarbon liquid and specific petroleum hydrocarbon constituents such as benzene. The area indicated as the “Estimated Areal Extent of PSH at Water Table” on Figure 3 roughly defines the area where shallow groundwater is affected. The area affected is very limited and extends no more than about 100 feet outside the fence line. The depth of affected groundwater is in the interval between 50-70 feet below ground surface. </w:t>
      </w:r>
    </w:p>
    <w:p>
      <w:pPr>
        <w:pStyle w:val="Normal"/>
        <w:rPr>
          <w:sz w:val="22"/>
        </w:rPr>
      </w:pPr>
      <w:r>
        <w:rPr>
          <w:sz w:val="22"/>
        </w:rPr>
      </w:r>
    </w:p>
    <w:p>
      <w:pPr>
        <w:pStyle w:val="Normal"/>
        <w:rPr>
          <w:sz w:val="22"/>
        </w:rPr>
      </w:pPr>
      <w:r>
        <w:rPr>
          <w:sz w:val="22"/>
        </w:rPr>
        <w:t xml:space="preserve">Assessment activities to delineate the lateral extent of affected groundwater have been completed. Future assessment activities at the site will include the routine collection of groundwater samples from monitor wells. This is currently done on a semiannual basis. </w:t>
      </w:r>
    </w:p>
    <w:p>
      <w:pPr>
        <w:pStyle w:val="Heading2"/>
        <w:ind w:hanging="0" w:start="0"/>
        <w:rPr>
          <w:sz w:val="22"/>
        </w:rPr>
      </w:pPr>
      <w:r>
        <w:rPr>
          <w:sz w:val="22"/>
        </w:rPr>
        <w:t>Groundwater Remediation Activities</w:t>
      </w:r>
    </w:p>
    <w:p>
      <w:pPr>
        <w:pStyle w:val="Normal"/>
        <w:rPr>
          <w:sz w:val="22"/>
        </w:rPr>
      </w:pPr>
      <w:r>
        <w:rPr>
          <w:sz w:val="22"/>
        </w:rPr>
      </w:r>
    </w:p>
    <w:p>
      <w:pPr>
        <w:pStyle w:val="Normal"/>
        <w:rPr>
          <w:sz w:val="22"/>
        </w:rPr>
      </w:pPr>
      <w:r>
        <w:rPr>
          <w:sz w:val="22"/>
        </w:rPr>
        <w:t xml:space="preserve">The primary objective of remediation activities is to remove petroleum hydrocarbon contaminants to a level acceptable to the appropriate regulatory agency. These activities are currently under the jurisdiction of the Railroad Commission of Texas. </w:t>
      </w:r>
    </w:p>
    <w:p>
      <w:pPr>
        <w:pStyle w:val="Normal"/>
        <w:rPr>
          <w:sz w:val="22"/>
        </w:rPr>
      </w:pPr>
      <w:r>
        <w:rPr>
          <w:sz w:val="22"/>
        </w:rPr>
      </w:r>
    </w:p>
    <w:p>
      <w:pPr>
        <w:pStyle w:val="Normal"/>
        <w:rPr>
          <w:sz w:val="22"/>
        </w:rPr>
      </w:pPr>
      <w:r>
        <w:rPr>
          <w:sz w:val="22"/>
        </w:rPr>
        <w:t>A remediation system is scheduled to be installed in October 2000. It is anticipated that remediation activities will continue through year 2004. The groundwater remediation system will consist of several recovery wells from which groundwater, petroleum hydrocarbon liquids, and soil vapor are removed from the affected area. The location of the additional recovery wells is indicated in Figure 3. Ten of the seventeen wells will be located outside the facility fence as indicated in the attached figure. This is in addition to the six existing off-site monitor wells.</w:t>
      </w:r>
    </w:p>
    <w:p>
      <w:pPr>
        <w:pStyle w:val="Normal"/>
        <w:rPr>
          <w:sz w:val="22"/>
        </w:rPr>
      </w:pPr>
      <w:r>
        <w:rPr>
          <w:sz w:val="22"/>
        </w:rPr>
      </w:r>
    </w:p>
    <w:p>
      <w:pPr>
        <w:pStyle w:val="Normal"/>
        <w:rPr>
          <w:sz w:val="22"/>
        </w:rPr>
      </w:pPr>
      <w:r>
        <w:rPr>
          <w:sz w:val="22"/>
        </w:rPr>
        <w:t>Contaminated groundwater and hydrocarbon liquids will be recovered using pneumatic pumps. Recovered liquids will be stored on-site in an aboveground storage tank prior to disposal. Soil vapor will be removed using a 3 Hp electric blower and will be discharged to the atmosphere at a location within the facility fence. Future activities will include the continued operation of the remediation system. In addition, future activities may include drilling and installation of additional recovery wells, implementation of an expanded remediation system and/or other remediation methods, and/or a system for on-site management of recovered groundwater.</w:t>
      </w:r>
    </w:p>
    <w:p>
      <w:pPr>
        <w:pStyle w:val="Normal"/>
        <w:rPr>
          <w:sz w:val="22"/>
        </w:rPr>
      </w:pPr>
      <w:r>
        <w:rPr>
          <w:sz w:val="22"/>
        </w:rPr>
      </w:r>
    </w:p>
    <w:p>
      <w:pPr>
        <w:pStyle w:val="Normal"/>
        <w:rPr>
          <w:sz w:val="22"/>
        </w:rPr>
      </w:pPr>
      <w:r>
        <w:rPr>
          <w:sz w:val="22"/>
        </w:rPr>
        <w:t>Remediation activities are anticipated to continue through year 2004, however, there is the potential that these activities will be required to continue beyond this timeframe in order to meet the remediation objectives.</w:t>
      </w:r>
    </w:p>
    <w:p>
      <w:pPr>
        <w:pStyle w:val="Normal"/>
        <w:rPr>
          <w:sz w:val="22"/>
        </w:rPr>
      </w:pPr>
      <w:r>
        <w:rPr>
          <w:sz w:val="22"/>
        </w:rPr>
      </w:r>
    </w:p>
    <w:p>
      <w:pPr>
        <w:pStyle w:val="Normal"/>
        <w:rPr>
          <w:sz w:val="22"/>
        </w:rPr>
      </w:pPr>
      <w:r>
        <w:rPr>
          <w:sz w:val="22"/>
        </w:rPr>
      </w:r>
    </w:p>
    <w:p>
      <w:pPr>
        <w:pStyle w:val="Normal"/>
        <w:rPr>
          <w:sz w:val="22"/>
        </w:rPr>
      </w:pPr>
      <w:r>
        <w:rPr>
          <w:sz w:val="22"/>
        </w:rPr>
        <w:t>If you have any questions or comments regarding this summary, please contact me at (713) 646-7327.</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George C. Robinson, P.E.</w:t>
      </w:r>
    </w:p>
    <w:p>
      <w:pPr>
        <w:pStyle w:val="Normal"/>
        <w:rPr>
          <w:sz w:val="22"/>
        </w:rPr>
      </w:pPr>
      <w:r>
        <w:rPr>
          <w:sz w:val="22"/>
        </w:rPr>
        <w:t>President/Principal Engineer</w:t>
      </w:r>
    </w:p>
    <w:p>
      <w:pPr>
        <w:pStyle w:val="Normal"/>
        <w:rPr>
          <w:sz w:val="22"/>
        </w:rPr>
      </w:pPr>
      <w:r>
        <w:rPr>
          <w:sz w:val="22"/>
        </w:rPr>
      </w:r>
    </w:p>
    <w:p>
      <w:pPr>
        <w:pStyle w:val="Normal"/>
        <w:tabs>
          <w:tab w:val="clear" w:pos="720"/>
          <w:tab w:val="left" w:pos="540" w:leader="none"/>
          <w:tab w:val="left" w:pos="2880" w:leader="none"/>
        </w:tabs>
        <w:rPr>
          <w:sz w:val="22"/>
        </w:rPr>
      </w:pPr>
      <w:r>
        <w:rPr>
          <w:sz w:val="22"/>
        </w:rPr>
        <w:t>xc:</w:t>
        <w:tab/>
        <w:t>Larry Campbell</w:t>
        <w:tab/>
        <w:t>Transwestern Pipeline Company</w:t>
      </w:r>
    </w:p>
    <w:sectPr>
      <w:headerReference w:type="default" r:id="rId2"/>
      <w:headerReference w:type="first" r:id="rId3"/>
      <w:type w:val="nextPage"/>
      <w:pgSz w:w="12240" w:h="15840"/>
      <w:pgMar w:left="1440" w:right="1440" w:gutter="0" w:header="72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t>Mr. Roger Westbrook</w:t>
      <w:tab/>
      <w:t xml:space="preserve">Page </w:t>
    </w:r>
    <w:r>
      <w:rPr/>
      <w:fldChar w:fldCharType="begin"/>
    </w:r>
    <w:r>
      <w:rPr/>
      <w:instrText xml:space="preserve"> PAGE </w:instrText>
    </w:r>
    <w:r>
      <w:rPr/>
      <w:fldChar w:fldCharType="separate"/>
    </w:r>
    <w:r>
      <w:rPr/>
      <w:t>2</w:t>
    </w:r>
    <w:r>
      <w:rPr/>
      <w:fldChar w:fldCharType="end"/>
    </w:r>
  </w:p>
  <w:p>
    <w:pPr>
      <w:pStyle w:val="Header"/>
      <w:pBdr>
        <w:bottom w:val="single" w:sz="6" w:space="1" w:color="000000"/>
      </w:pBdr>
      <w:tabs>
        <w:tab w:val="clear" w:pos="4320"/>
        <w:tab w:val="clear" w:pos="8640"/>
        <w:tab w:val="right" w:pos="9360" w:leader="none"/>
      </w:tabs>
      <w:rPr/>
    </w:pPr>
    <w:r>
      <w:rPr/>
      <w:t>TW North Crawar Compressor Station</w:t>
      <w:tab/>
      <w:t>August 30, 2000</w:t>
    </w:r>
  </w:p>
  <w:p>
    <w:pPr>
      <w:pStyle w:val="Header"/>
      <w:tabs>
        <w:tab w:val="clear" w:pos="4320"/>
        <w:tab w:val="clear" w:pos="8640"/>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4680"/>
      <w:gridCol w:w="4680"/>
    </w:tblGrid>
    <w:tr>
      <w:trPr/>
      <w:tc>
        <w:tcPr>
          <w:tcW w:w="4680" w:type="dxa"/>
          <w:tcBorders>
            <w:bottom w:val="single" w:sz="6" w:space="0" w:color="000000"/>
          </w:tcBorders>
        </w:tcPr>
        <w:p>
          <w:pPr>
            <w:pStyle w:val="Normal"/>
            <w:tabs>
              <w:tab w:val="clear" w:pos="720"/>
              <w:tab w:val="left" w:pos="180" w:leader="none"/>
              <w:tab w:val="left" w:pos="1080" w:leader="none"/>
            </w:tabs>
            <w:snapToGrid w:val="false"/>
            <w:rPr>
              <w:rFonts w:ascii="Century Gothic" w:hAnsi="Century Gothic" w:cs="Century Gothic"/>
              <w:sz w:val="16"/>
            </w:rPr>
          </w:pPr>
          <w:r>
            <w:rPr>
              <w:rFonts w:cs="Century Gothic" w:ascii="Century Gothic" w:hAnsi="Century Gothic"/>
              <w:sz w:val="16"/>
            </w:rPr>
          </w:r>
        </w:p>
        <w:p>
          <w:pPr>
            <w:pStyle w:val="Normal"/>
            <w:tabs>
              <w:tab w:val="clear" w:pos="720"/>
              <w:tab w:val="left" w:pos="180" w:leader="none"/>
              <w:tab w:val="left" w:pos="810" w:leader="none"/>
            </w:tabs>
            <w:rPr>
              <w:rFonts w:ascii="Century Gothic" w:hAnsi="Century Gothic" w:cs="Century Gothic"/>
              <w:b/>
              <w:spacing w:val="-35"/>
              <w:sz w:val="16"/>
            </w:rPr>
          </w:pPr>
          <w:r>
            <w:rPr>
              <w:rFonts w:cs="Century Gothic" w:ascii="Century Gothic" w:hAnsi="Century Gothic"/>
              <w:sz w:val="16"/>
            </w:rPr>
            <w:object w:dxaOrig="726" w:dyaOrig="63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6.3pt;height:31.65pt" filled="f" o:ole="">
                <v:imagedata r:id="rId2" o:title=""/>
              </v:shape>
              <o:OLEObject Type="Embed" ProgID="" ShapeID="ole_rId1" DrawAspect="Content" ObjectID="_640587993" r:id="rId1"/>
            </w:object>
          </w:r>
          <w:r>
            <w:rPr>
              <w:rFonts w:cs="Century Gothic" w:ascii="Century Gothic" w:hAnsi="Century Gothic"/>
              <w:sz w:val="16"/>
            </w:rPr>
            <w:tab/>
          </w:r>
          <w:r>
            <w:rPr>
              <w:rFonts w:cs="Century Gothic" w:ascii="Century Gothic" w:hAnsi="Century Gothic"/>
              <w:sz w:val="36"/>
            </w:rPr>
            <w:t>Cypress Engineering</w:t>
          </w:r>
        </w:p>
      </w:tc>
      <w:tc>
        <w:tcPr>
          <w:tcW w:w="4680" w:type="dxa"/>
          <w:tcBorders>
            <w:bottom w:val="single" w:sz="6" w:space="0" w:color="000000"/>
          </w:tcBorders>
        </w:tcPr>
        <w:p>
          <w:pPr>
            <w:pStyle w:val="Normal"/>
            <w:ind w:start="1710" w:end="20"/>
            <w:jc w:val="start"/>
            <w:rPr>
              <w:rFonts w:ascii="Century Gothic" w:hAnsi="Century Gothic" w:cs="Century Gothic"/>
              <w:sz w:val="16"/>
            </w:rPr>
          </w:pPr>
          <w:r>
            <w:rPr>
              <w:rFonts w:cs="Century Gothic" w:ascii="Century Gothic" w:hAnsi="Century Gothic"/>
              <w:sz w:val="16"/>
            </w:rPr>
            <w:t>10235 West Little York Road, Suite 256</w:t>
          </w:r>
        </w:p>
        <w:p>
          <w:pPr>
            <w:pStyle w:val="Normal"/>
            <w:ind w:start="1710" w:end="20"/>
            <w:jc w:val="start"/>
            <w:rPr>
              <w:rFonts w:ascii="Century Gothic" w:hAnsi="Century Gothic" w:cs="Century Gothic"/>
              <w:sz w:val="16"/>
            </w:rPr>
          </w:pPr>
          <w:r>
            <w:rPr>
              <w:rFonts w:cs="Century Gothic" w:ascii="Century Gothic" w:hAnsi="Century Gothic"/>
              <w:sz w:val="16"/>
            </w:rPr>
            <w:t>Houston, Texas  77040</w:t>
          </w:r>
        </w:p>
        <w:p>
          <w:pPr>
            <w:pStyle w:val="Normal"/>
            <w:ind w:start="1710" w:end="20"/>
            <w:jc w:val="start"/>
            <w:rPr>
              <w:rFonts w:ascii="Century Gothic" w:hAnsi="Century Gothic" w:cs="Century Gothic"/>
              <w:sz w:val="8"/>
            </w:rPr>
          </w:pPr>
          <w:r>
            <w:rPr>
              <w:rFonts w:cs="Century Gothic" w:ascii="Century Gothic" w:hAnsi="Century Gothic"/>
              <w:sz w:val="8"/>
            </w:rPr>
          </w:r>
        </w:p>
        <w:p>
          <w:pPr>
            <w:pStyle w:val="Normal"/>
            <w:ind w:start="1710" w:end="20"/>
            <w:jc w:val="start"/>
            <w:rPr>
              <w:rFonts w:ascii="Century Gothic" w:hAnsi="Century Gothic" w:cs="Century Gothic"/>
              <w:sz w:val="16"/>
            </w:rPr>
          </w:pPr>
          <w:r>
            <w:rPr>
              <w:rFonts w:cs="Century Gothic" w:ascii="Century Gothic" w:hAnsi="Century Gothic"/>
              <w:sz w:val="16"/>
            </w:rPr>
            <w:t>(713) 856-7980 office</w:t>
          </w:r>
        </w:p>
        <w:p>
          <w:pPr>
            <w:pStyle w:val="Normal"/>
            <w:ind w:start="1710" w:end="20"/>
            <w:jc w:val="start"/>
            <w:rPr>
              <w:rFonts w:ascii="Century Gothic" w:hAnsi="Century Gothic" w:cs="Century Gothic"/>
              <w:sz w:val="16"/>
            </w:rPr>
          </w:pPr>
          <w:r>
            <w:rPr>
              <w:rFonts w:cs="Century Gothic" w:ascii="Century Gothic" w:hAnsi="Century Gothic"/>
              <w:sz w:val="16"/>
            </w:rPr>
            <w:t>(713) 856-7981 fax</w:t>
          </w:r>
        </w:p>
      </w:tc>
    </w:tr>
  </w:tbl>
  <w:p>
    <w:pPr>
      <w:pStyle w:val="Normal"/>
      <w:tabs>
        <w:tab w:val="clear" w:pos="720"/>
        <w:tab w:val="left" w:pos="630" w:leader="none"/>
        <w:tab w:val="left" w:pos="1080" w:leader="none"/>
      </w:tabs>
      <w:rPr>
        <w:sz w:val="12"/>
      </w:rPr>
    </w:pPr>
    <w:r>
      <w:rPr>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spacing w:before="300" w:after="0"/>
      <w:outlineLvl w:val="0"/>
    </w:pPr>
    <w:rPr>
      <w:b/>
      <w:kern w:val="2"/>
    </w:rPr>
  </w:style>
  <w:style w:type="paragraph" w:styleId="Heading2">
    <w:name w:val="heading 2"/>
    <w:basedOn w:val="Normal"/>
    <w:next w:val="Normal"/>
    <w:qFormat/>
    <w:pPr>
      <w:keepNext w:val="true"/>
      <w:numPr>
        <w:ilvl w:val="1"/>
        <w:numId w:val="1"/>
      </w:numPr>
      <w:spacing w:before="240" w:after="0"/>
      <w:outlineLvl w:val="1"/>
    </w:pPr>
    <w:rPr>
      <w:b/>
      <w:u w:val="single"/>
    </w:rPr>
  </w:style>
  <w:style w:type="paragraph" w:styleId="Heading3">
    <w:name w:val="heading 3"/>
    <w:basedOn w:val="Normal"/>
    <w:next w:val="Normal"/>
    <w:qFormat/>
    <w:pPr>
      <w:keepNext w:val="true"/>
      <w:numPr>
        <w:ilvl w:val="2"/>
        <w:numId w:val="1"/>
      </w:numPr>
      <w:spacing w:before="120" w:after="0"/>
      <w:outlineLvl w:val="2"/>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120" w:after="0"/>
      <w:ind w:hanging="0" w:start="72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Ces_head.dot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2000-08-30T15:18:00Z</dcterms:created>
  <dc:creator>Ots User</dc:creator>
  <dc:description/>
  <dc:language>en-CA</dc:language>
  <cp:lastModifiedBy>Ots User</cp:lastModifiedBy>
  <cp:lastPrinted>1996-10-16T09:59:00Z</cp:lastPrinted>
  <dcterms:modified xsi:type="dcterms:W3CDTF">2000-08-31T20:25:00Z</dcterms:modified>
  <cp:revision>7</cp:revision>
  <dc:subject/>
  <dc:title>Date</dc:title>
</cp:coreProperties>
</file>