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2">
            <wp:simplePos x="0" y="0"/>
            <wp:positionH relativeFrom="column">
              <wp:posOffset>5074920</wp:posOffset>
            </wp:positionH>
            <wp:positionV relativeFrom="paragraph">
              <wp:posOffset>-182880</wp:posOffset>
            </wp:positionV>
            <wp:extent cx="374650" cy="3746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3" r="-13" b="-13"/>
                    <a:stretch>
                      <a:fillRect/>
                    </a:stretch>
                  </pic:blipFill>
                  <pic:spPr bwMode="auto">
                    <a:xfrm>
                      <a:off x="0" y="0"/>
                      <a:ext cx="374650" cy="374650"/>
                    </a:xfrm>
                    <a:prstGeom prst="rect">
                      <a:avLst/>
                    </a:prstGeom>
                    <a:noFill/>
                  </pic:spPr>
                </pic:pic>
              </a:graphicData>
            </a:graphic>
          </wp:anchor>
        </w:drawing>
      </w:r>
      <w:r>
        <w:rPr/>
        <w:t xml:space="preserve">11/28/00 </w:t>
        <w:tab/>
        <w:tab/>
        <w:tab/>
      </w:r>
      <w:r>
        <w:rPr>
          <w:b/>
          <w:sz w:val="24"/>
          <w:u w:val="single"/>
        </w:rPr>
        <w:t>Natural Gas Market Update</w:t>
      </w:r>
    </w:p>
    <w:p>
      <w:pPr>
        <w:pStyle w:val="Normal"/>
        <w:rPr/>
      </w:pPr>
      <w:r>
        <w:rPr/>
      </w:r>
    </w:p>
    <w:p>
      <w:pPr>
        <w:pStyle w:val="Normal"/>
        <w:rPr/>
      </w:pPr>
      <w:r>
        <w:rPr/>
      </w:r>
    </w:p>
    <w:p>
      <w:pPr>
        <w:pStyle w:val="BodyText"/>
        <w:jc w:val="both"/>
        <w:rPr/>
      </w:pPr>
      <w:r>
        <w:rPr>
          <w:rFonts w:cs="Arial" w:ascii="Arial" w:hAnsi="Arial"/>
          <w:sz w:val="22"/>
        </w:rPr>
        <w:t>In light of the recent natural gas market volatility during the month of November, Enron Energy Services, Inc has deemed it necessary to inform our customers of the current market conditions.  Several factors have contributed to the current market situation, including high demand brought on by cooler winter weather, continued demand increases in certain sectors of the economy (</w:t>
      </w:r>
      <w:r>
        <w:rPr>
          <w:rFonts w:cs="Arial" w:ascii="Arial" w:hAnsi="Arial"/>
          <w:b/>
          <w:sz w:val="22"/>
        </w:rPr>
        <w:t>e.g</w:t>
      </w:r>
      <w:r>
        <w:rPr>
          <w:rFonts w:cs="Arial" w:ascii="Arial" w:hAnsi="Arial"/>
          <w:sz w:val="22"/>
        </w:rPr>
        <w:t xml:space="preserve">., technology), scheduled maintenance of electric generation of nuclear facilities and pipeline constraints.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In California, the demand for natural gas generated electricity continues to be very strong. Cooler weather was not the only culprit.  A lower amount of rainfall in the Pacific Northwest resulted in less hydroelectric power available to the marketplace. This, coupled with the scheduled maintenance of nuclear power plants, has forced gas fired generation plants to remain online when, historically, they would be dormant.  Thus, the demand for gas peaked at an all time high.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Moreover, the nuclear plants did not meet their estimated mid-October target for completion of maintenance, thus delaying start-up by more than three weeks and extending merchant plant demand for this period.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In August, El Paso Pipeline Co. suffered a rupture in their line, leaving Keystone supply stranded in the production area.  To compound matters, Transwestern Pipeline suffered a disruption due to a train derailment near their easement in early November.  The results of these two events severely reduced deliveries to California by 600,000-800,000 MMbtu’s a day. Without this steady flow of volume, California storage numbers ended October at 71% of normal injections.  All other interstate pipelines have been delivering at capacity into Southern California.  Even with these maximum deliveries, supply has not kept up with demand and has forced significant early withdrawals from storage.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confluence of these factors has resulted in dramatic price spikes in the market place.  For example, the month of November opened with NGI SoCal border prices posting between $5.18 and $5.32 in the California markets.  Throughout the month, prices have continued to climb.  Current prices for natural gas are over three times November’s opening price.  Until this situation stabilizes, these high prices are being projected forward.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2000-11-28T20:53:00Z</dcterms:created>
  <dc:creator>Thom Armstrong</dc:creator>
  <dc:description/>
  <dc:language>en-CA</dc:language>
  <cp:lastModifiedBy>pmahoney</cp:lastModifiedBy>
  <cp:lastPrinted>2000-11-28T12:25:00Z</cp:lastPrinted>
  <dcterms:modified xsi:type="dcterms:W3CDTF">2000-11-28T20:53:00Z</dcterms:modified>
  <cp:revision>2</cp:revision>
  <dc:subject/>
  <dc:title>11/28/00</dc:title>
</cp:coreProperties>
</file>