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except as provided in the BETA.  (2) Broker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Broker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Broker’s access to and use of the Website will be subject to the BETA.  At any time that the standard form of the BETA is updated, modified or otherwise revised by Enron and posted to the Website (the “Updated BETA”), prior to Broker’s first Execution (as defined in the BETA) thereafter through the Website, Broker will be required to indicate its agreement to the Updated BETA by “clicking” on the designated spaces and, thereafter, any access and utilization of the Website using any of the Passwords will be governed by this Fee Agreement and the Updated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$150,000.00 (the “Access Fee”) which fee is due and payable upon receipt and activation of the password and userid issued by Enron.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ind w:firstLine="1440" w:end="0"/>
        <w:jc w:val="both"/>
        <w:rPr/>
      </w:pPr>
      <w:r>
        <w:rPr/>
      </w:r>
    </w:p>
    <w:p>
      <w:pPr>
        <w:pStyle w:val="Normal"/>
        <w:widowControl/>
        <w:ind w:firstLine="1440" w:end="0"/>
        <w:jc w:val="both"/>
        <w:rPr/>
      </w:pPr>
      <w:r>
        <w:rPr/>
        <w:t xml:space="preserve">In the event of a conflict between the provisions of this Agreement and the BETA, the provisions of the BETA shall control. </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tab/>
        <w:tab/>
        <w:tab/>
        <w:tab/>
        <w:tab/>
        <w:tab/>
        <w:tab/>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Signed:_______________________</w:t>
      </w:r>
    </w:p>
    <w:p>
      <w:pPr>
        <w:pStyle w:val="Normal"/>
        <w:widowControl/>
        <w:tabs>
          <w:tab w:val="clear" w:pos="720"/>
          <w:tab w:val="left" w:pos="-1440" w:leader="none"/>
        </w:tabs>
        <w:ind w:hanging="5760" w:start="5760" w:end="0"/>
        <w:rPr/>
      </w:pPr>
      <w:r>
        <w:rPr/>
        <w:t>Name:</w:t>
        <w:tab/>
        <w:t>_______________________</w:t>
        <w:tab/>
        <w:tab/>
        <w:tab/>
        <w:t>Name:________________________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BodyTextIndent"/>
        <w:rPr/>
      </w:pPr>
      <w:r>
        <w:rPr/>
        <w:t xml:space="preserve">ENRONONLINE, LLC                      </w:t>
        <w:tab/>
        <w:tab/>
        <w:tab/>
        <w:t>NATSOURCE-TULLET EUROPE, LTD.</w:t>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b/>
          <w:bCs/>
        </w:rPr>
      </w:pPr>
      <w:r>
        <w:rPr>
          <w:b/>
          <w:bCs/>
        </w:rPr>
        <w:t>Exhibit A</w:t>
        <w:br/>
        <w:br/>
        <w:t>Specified Products</w:t>
        <w:br/>
      </w:r>
    </w:p>
    <w:p>
      <w:pPr>
        <w:pStyle w:val="Heading1"/>
        <w:rPr>
          <w:b/>
          <w:bCs/>
        </w:rPr>
      </w:pPr>
      <w:r>
        <w:rPr>
          <w:b/>
          <w:bCs/>
        </w:rPr>
      </w:r>
    </w:p>
    <w:p>
      <w:pPr>
        <w:pStyle w:val="Heading1"/>
        <w:rPr/>
      </w:pPr>
      <w:r>
        <w:rPr/>
      </w:r>
    </w:p>
    <w:p>
      <w:pPr>
        <w:pStyle w:val="Heading1"/>
        <w:rPr/>
      </w:pPr>
      <w:r>
        <w:rPr/>
        <w:t>UK and European Natural Gas</w:t>
      </w:r>
    </w:p>
    <w:p>
      <w:pPr>
        <w:pStyle w:val="Heading1"/>
        <w:rPr/>
      </w:pPr>
      <w:r>
        <w:rPr/>
        <w:t>UK and European Power</w:t>
      </w:r>
    </w:p>
    <w:p>
      <w:pPr>
        <w:pStyle w:val="Normal"/>
        <w:rPr/>
      </w:pPr>
      <w:r>
        <w:rPr/>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/mnt/main-storage/datasets/enron-docs/doc/natsource_tullet-7b8cb2151d8e8a731fd7c2dc6d1aa37a179979d1b53324ba0cc3dfacba748fdf.doc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/mnt/main-storage/datasets/enron-docs/doc/natsource_tullet-7b8cb2151d8e8a731fd7c2dc6d1aa37a179979d1b53324ba0cc3dfacba748fdf.doc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/mnt/main-storage/datasets/enron-docs/doc/natsource_tullet-7b8cb2151d8e8a731fd7c2dc6d1aa37a179979d1b53324ba0cc3dfacba748fdf.doc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/mnt/main-storage/datasets/enron-docs/doc/natsource_tullet-7b8cb2151d8e8a731fd7c2dc6d1aa37a179979d1b53324ba0cc3dfacba748fdf.doc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tabs>
        <w:tab w:val="clear" w:pos="720"/>
        <w:tab w:val="left" w:pos="-1440" w:leader="none"/>
      </w:tabs>
      <w:ind w:hanging="5040" w:start="504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2001-05-15T16:09:00Z</dcterms:created>
  <dc:creator>mtaylo1</dc:creator>
  <dc:description/>
  <dc:language>en-CA</dc:language>
  <cp:lastModifiedBy>tjones</cp:lastModifiedBy>
  <cp:lastPrinted>2001-05-15T13:48:00Z</cp:lastPrinted>
  <dcterms:modified xsi:type="dcterms:W3CDTF">2001-05-15T16:42:00Z</dcterms:modified>
  <cp:revision>7</cp:revision>
  <dc:subject/>
  <dc:title/>
</cp:coreProperties>
</file>