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r>
    </w:p>
    <w:p>
      <w:pPr>
        <w:pStyle w:val="Heading4"/>
        <w:ind w:hanging="0" w:start="0"/>
        <w:rPr/>
      </w:pPr>
      <w:r>
        <w:rPr/>
      </w:r>
    </w:p>
    <w:p>
      <w:pPr>
        <w:pStyle w:val="Heading4"/>
        <w:ind w:hanging="0" w:start="0"/>
        <w:rPr/>
      </w:pPr>
      <w:r>
        <w:rPr/>
      </w:r>
    </w:p>
    <w:p>
      <w:pPr>
        <w:pStyle w:val="Normal"/>
        <w:jc w:val="center"/>
        <w:rPr/>
      </w:pPr>
      <w:r>
        <w:rPr/>
      </w:r>
    </w:p>
    <w:p>
      <w:pPr>
        <w:pStyle w:val="Heading4"/>
        <w:ind w:hanging="0" w:start="0"/>
        <w:rPr>
          <w:sz w:val="22"/>
        </w:rPr>
      </w:pPr>
      <w:r>
        <w:rPr>
          <w:sz w:val="22"/>
        </w:rPr>
      </w:r>
    </w:p>
    <w:p>
      <w:pPr>
        <w:pStyle w:val="Heading4"/>
        <w:ind w:hanging="0" w:start="0"/>
        <w:rPr>
          <w:sz w:val="22"/>
        </w:rPr>
      </w:pPr>
      <w:r>
        <w:rPr>
          <w:sz w:val="22"/>
        </w:rPr>
        <w:t>July 2_, 1999</w:t>
      </w:r>
    </w:p>
    <w:p>
      <w:pPr>
        <w:pStyle w:val="Normal"/>
        <w:rPr>
          <w:sz w:val="22"/>
        </w:rPr>
      </w:pPr>
      <w:r>
        <w:rPr>
          <w:sz w:val="22"/>
        </w:rPr>
      </w:r>
    </w:p>
    <w:p>
      <w:pPr>
        <w:pStyle w:val="Normal"/>
        <w:rPr/>
      </w:pPr>
      <w:r>
        <w:rPr/>
      </w:r>
    </w:p>
    <w:p>
      <w:pPr>
        <w:pStyle w:val="Normal"/>
        <w:rPr/>
      </w:pPr>
      <w:r>
        <w:rPr/>
        <w:t>[National Gypsum address]</w:t>
      </w:r>
    </w:p>
    <w:p>
      <w:pPr>
        <w:pStyle w:val="Normal"/>
        <w:rPr/>
      </w:pPr>
      <w:r>
        <w:rPr/>
      </w:r>
    </w:p>
    <w:p>
      <w:pPr>
        <w:pStyle w:val="Normal"/>
        <w:widowControl w:val="false"/>
        <w:rPr>
          <w:b/>
          <w:color w:val="000000"/>
          <w:sz w:val="22"/>
        </w:rPr>
      </w:pPr>
      <w:r>
        <w:rPr>
          <w:b/>
          <w:color w:val="000000"/>
          <w:sz w:val="22"/>
        </w:rPr>
      </w:r>
    </w:p>
    <w:p>
      <w:pPr>
        <w:pStyle w:val="Normal"/>
        <w:widowControl w:val="false"/>
        <w:rPr>
          <w:b/>
          <w:color w:val="000000"/>
          <w:sz w:val="22"/>
        </w:rPr>
      </w:pPr>
      <w:r>
        <w:rPr>
          <w:b/>
          <w:color w:val="000000"/>
          <w:sz w:val="22"/>
        </w:rPr>
      </w:r>
    </w:p>
    <w:p>
      <w:pPr>
        <w:pStyle w:val="Normal"/>
        <w:widowControl w:val="false"/>
        <w:tabs>
          <w:tab w:val="clear" w:pos="720"/>
          <w:tab w:val="left" w:pos="-1440" w:leader="none"/>
        </w:tabs>
        <w:ind w:hanging="720" w:start="1440" w:end="0"/>
        <w:jc w:val="both"/>
        <w:rPr>
          <w:color w:val="000000"/>
          <w:sz w:val="22"/>
        </w:rPr>
      </w:pPr>
      <w:r>
        <w:rPr>
          <w:color w:val="000000"/>
          <w:sz w:val="22"/>
        </w:rPr>
        <w:t>Re:</w:t>
        <w:tab/>
        <w:t>ISDA Master Agreement between Enron Capital &amp; Trade Resources Corp. (“ECT”) and National Gypsum (“NG”)</w:t>
      </w:r>
    </w:p>
    <w:p>
      <w:pPr>
        <w:pStyle w:val="Normal"/>
        <w:widowControl w:val="false"/>
        <w:jc w:val="both"/>
        <w:rPr>
          <w:color w:val="000000"/>
          <w:sz w:val="22"/>
        </w:rPr>
      </w:pPr>
      <w:r>
        <w:rPr>
          <w:color w:val="000000"/>
          <w:sz w:val="22"/>
        </w:rPr>
      </w:r>
    </w:p>
    <w:p>
      <w:pPr>
        <w:pStyle w:val="Normal"/>
        <w:widowControl w:val="false"/>
        <w:jc w:val="both"/>
        <w:rPr>
          <w:color w:val="000000"/>
          <w:sz w:val="22"/>
        </w:rPr>
      </w:pPr>
      <w:r>
        <w:rPr>
          <w:color w:val="000000"/>
          <w:sz w:val="22"/>
        </w:rPr>
        <w:t>Dear __________:</w:t>
      </w:r>
    </w:p>
    <w:p>
      <w:pPr>
        <w:pStyle w:val="Normal"/>
        <w:widowControl w:val="false"/>
        <w:jc w:val="both"/>
        <w:rPr>
          <w:color w:val="000000"/>
          <w:sz w:val="22"/>
        </w:rPr>
      </w:pPr>
      <w:r>
        <w:rPr>
          <w:color w:val="000000"/>
          <w:sz w:val="22"/>
        </w:rPr>
      </w:r>
    </w:p>
    <w:p>
      <w:pPr>
        <w:pStyle w:val="Normal"/>
        <w:widowControl w:val="false"/>
        <w:jc w:val="both"/>
        <w:rPr>
          <w:color w:val="000000"/>
          <w:sz w:val="22"/>
        </w:rPr>
      </w:pPr>
      <w:r>
        <w:rPr>
          <w:color w:val="000000"/>
          <w:sz w:val="22"/>
        </w:rPr>
        <w:tab/>
        <w:t>Based upon our earlier conversations, this letter will evidence ECT’s agreement, upon execution of an ISDA Master Agreement and a Credit Support Annex (collectively, the “Agreement”) between the parties, to review any financial data submitted by NG to ECT and reevaluate credit provisions of the Agreement with respect to NG.  If ECT is of the opinion that revisions to the Agreement are appropriate, then ECT will propose an amendment to the Agreement incorporating such revisions.</w:t>
      </w:r>
    </w:p>
    <w:p>
      <w:pPr>
        <w:pStyle w:val="Normal"/>
        <w:widowControl w:val="false"/>
        <w:ind w:start="5760" w:end="0"/>
        <w:rPr>
          <w:color w:val="000000"/>
          <w:sz w:val="22"/>
        </w:rPr>
      </w:pPr>
      <w:r>
        <w:rPr>
          <w:color w:val="000000"/>
          <w:sz w:val="22"/>
        </w:rPr>
      </w:r>
    </w:p>
    <w:p>
      <w:pPr>
        <w:pStyle w:val="Normal"/>
        <w:widowControl w:val="false"/>
        <w:ind w:start="5760" w:end="0"/>
        <w:rPr>
          <w:color w:val="000000"/>
          <w:sz w:val="22"/>
        </w:rPr>
      </w:pPr>
      <w:r>
        <w:rPr>
          <w:color w:val="000000"/>
          <w:sz w:val="22"/>
        </w:rPr>
      </w:r>
    </w:p>
    <w:p>
      <w:pPr>
        <w:pStyle w:val="Normal"/>
        <w:widowControl w:val="false"/>
        <w:ind w:start="5040" w:end="0"/>
        <w:rPr>
          <w:color w:val="000000"/>
          <w:sz w:val="22"/>
        </w:rPr>
      </w:pPr>
      <w:r>
        <w:rPr>
          <w:color w:val="000000"/>
          <w:sz w:val="22"/>
        </w:rPr>
        <w:t>Respectfully submitted,</w:t>
      </w:r>
    </w:p>
    <w:p>
      <w:pPr>
        <w:pStyle w:val="Normal"/>
        <w:widowControl w:val="false"/>
        <w:ind w:start="5040" w:end="0"/>
        <w:rPr>
          <w:color w:val="000000"/>
          <w:sz w:val="22"/>
        </w:rPr>
      </w:pPr>
      <w:r>
        <w:rPr>
          <w:color w:val="000000"/>
          <w:sz w:val="22"/>
        </w:rPr>
      </w:r>
    </w:p>
    <w:p>
      <w:pPr>
        <w:pStyle w:val="Normal"/>
        <w:widowControl w:val="false"/>
        <w:ind w:start="5040" w:end="0"/>
        <w:rPr>
          <w:sz w:val="22"/>
        </w:rPr>
      </w:pPr>
      <w:r>
        <w:rPr>
          <w:sz w:val="22"/>
        </w:rPr>
        <w:t>Enron Capital &amp; Trade Resources Corp.</w:t>
      </w:r>
    </w:p>
    <w:p>
      <w:pPr>
        <w:pStyle w:val="Normal"/>
        <w:widowControl w:val="false"/>
        <w:ind w:start="5040" w:end="0"/>
        <w:rPr>
          <w:sz w:val="22"/>
        </w:rPr>
      </w:pPr>
      <w:r>
        <w:rPr>
          <w:sz w:val="22"/>
        </w:rPr>
      </w:r>
    </w:p>
    <w:p>
      <w:pPr>
        <w:pStyle w:val="Normal"/>
        <w:widowControl w:val="false"/>
        <w:ind w:start="5040" w:end="0"/>
        <w:rPr>
          <w:sz w:val="22"/>
        </w:rPr>
      </w:pPr>
      <w:r>
        <w:rPr>
          <w:sz w:val="22"/>
        </w:rPr>
      </w:r>
    </w:p>
    <w:p>
      <w:pPr>
        <w:pStyle w:val="Normal"/>
        <w:widowControl w:val="false"/>
        <w:ind w:start="5040" w:end="0"/>
        <w:rPr>
          <w:sz w:val="22"/>
        </w:rPr>
      </w:pPr>
      <w:r>
        <w:rPr>
          <w:sz w:val="22"/>
        </w:rPr>
      </w:r>
    </w:p>
    <w:p>
      <w:pPr>
        <w:pStyle w:val="Normal"/>
        <w:widowControl w:val="false"/>
        <w:ind w:start="5040" w:end="0"/>
        <w:rPr>
          <w:sz w:val="22"/>
        </w:rPr>
      </w:pPr>
      <w:r>
        <w:rPr>
          <w:sz w:val="22"/>
        </w:rPr>
      </w:r>
    </w:p>
    <w:p>
      <w:pPr>
        <w:pStyle w:val="Normal"/>
        <w:ind w:start="5040" w:end="0"/>
        <w:rPr>
          <w:sz w:val="22"/>
        </w:rPr>
      </w:pPr>
      <w:r>
        <w:rPr>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/mnt/main-storage/datasets/enron-docs/doc/natgyp.doc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both"/>
      <w:outlineLvl w:val="1"/>
    </w:pPr>
    <w:rPr>
      <w:b/>
      <w:color w:val="000000"/>
      <w:sz w:val="24"/>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widowControl w:val="false"/>
      <w:numPr>
        <w:ilvl w:val="3"/>
        <w:numId w:val="1"/>
      </w:numPr>
      <w:jc w:val="center"/>
      <w:outlineLvl w:val="3"/>
    </w:pPr>
    <w:rPr>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z w:val="24"/>
      <w:lang w:eastAsia="en-US"/>
    </w:rPr>
  </w:style>
  <w:style w:type="paragraph" w:styleId="BodyTextIndent2">
    <w:name w:val="Body Text Indent 2"/>
    <w:basedOn w:val="Normal"/>
    <w:qFormat/>
    <w:pPr>
      <w:ind w:firstLine="1440" w:start="4320" w:end="0"/>
      <w:jc w:val="both"/>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1999-07-23T14:15:00Z</dcterms:created>
  <dc:creator>Sonia Herrera</dc:creator>
  <dc:description/>
  <dc:language>en-CA</dc:language>
  <cp:lastModifiedBy>sshackl</cp:lastModifiedBy>
  <cp:lastPrinted>1999-06-21T16:11:00Z</cp:lastPrinted>
  <dcterms:modified xsi:type="dcterms:W3CDTF">1999-07-23T14:23:00Z</dcterms:modified>
  <cp:revision>6</cp:revision>
  <dc:subject/>
  <dc:title>[PLEASE REVIEW, REVISE AND TRANSFER TO COMPANY LETTERHEAD]</dc:title>
</cp:coreProperties>
</file>