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22"/>
        </w:rPr>
      </w:pPr>
      <w:r>
        <w:rPr>
          <w:rFonts w:cs="Arial" w:ascii="Arial" w:hAnsi="Arial"/>
          <w:sz w:val="22"/>
        </w:rPr>
        <w:t>October XX,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Mr. Ken Malloy </w:t>
      </w:r>
    </w:p>
    <w:p>
      <w:pPr>
        <w:pStyle w:val="Normal"/>
        <w:jc w:val="both"/>
        <w:rPr>
          <w:rFonts w:ascii="Arial" w:hAnsi="Arial" w:cs="Arial"/>
          <w:sz w:val="22"/>
        </w:rPr>
      </w:pPr>
      <w:r>
        <w:rPr>
          <w:rFonts w:cs="Arial" w:ascii="Arial" w:hAnsi="Arial"/>
          <w:sz w:val="22"/>
        </w:rPr>
        <w:t>Chief Executive Officer</w:t>
      </w:r>
    </w:p>
    <w:p>
      <w:pPr>
        <w:pStyle w:val="Normal"/>
        <w:jc w:val="both"/>
        <w:rPr>
          <w:rFonts w:ascii="Arial" w:hAnsi="Arial" w:cs="Arial"/>
          <w:sz w:val="22"/>
        </w:rPr>
      </w:pPr>
      <w:r>
        <w:rPr>
          <w:rFonts w:cs="Arial" w:ascii="Arial" w:hAnsi="Arial"/>
          <w:sz w:val="22"/>
        </w:rPr>
        <w:t>CAEM</w:t>
      </w:r>
    </w:p>
    <w:p>
      <w:pPr>
        <w:pStyle w:val="Normal"/>
        <w:jc w:val="both"/>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22"/>
        </w:rPr>
        <w:t>Re: Disco of the Future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Mr. Malloy:</w:t>
      </w:r>
    </w:p>
    <w:p>
      <w:pPr>
        <w:pStyle w:val="Normal"/>
        <w:jc w:val="both"/>
        <w:rPr>
          <w:rFonts w:ascii="Arial" w:hAnsi="Arial" w:cs="Arial"/>
          <w:sz w:val="22"/>
        </w:rPr>
      </w:pPr>
      <w:r>
        <w:rPr>
          <w:rFonts w:cs="Arial" w:ascii="Arial" w:hAnsi="Arial"/>
          <w:sz w:val="22"/>
        </w:rPr>
      </w:r>
    </w:p>
    <w:p>
      <w:pPr>
        <w:pStyle w:val="BodyText"/>
        <w:jc w:val="both"/>
        <w:rPr>
          <w:b w:val="false"/>
          <w:bCs w:val="false"/>
        </w:rPr>
      </w:pPr>
      <w:r>
        <w:rPr>
          <w:b w:val="false"/>
          <w:bCs w:val="false"/>
        </w:rPr>
        <w:t xml:space="preserve">I am writing to you regarding the draft paper prepared by Nat Treadway for the September 13, 2001 Forum Meeting. </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Attached are our main comments.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Respectfully yours,</w:t>
      </w:r>
    </w:p>
    <w:p>
      <w:pPr>
        <w:pStyle w:val="Normal"/>
        <w:jc w:val="both"/>
        <w:rPr>
          <w:rFonts w:ascii="Arial" w:hAnsi="Arial" w:cs="Arial"/>
          <w:sz w:val="22"/>
          <w:ins w:id="1" w:author="gcanovas" w:date="2001-10-26T08:34:00Z"/>
        </w:rPr>
      </w:pPr>
      <w:ins w:id="0" w:author="gcanovas" w:date="2001-10-26T08:34:00Z">
        <w:r>
          <w:rPr>
            <w:rFonts w:cs="Arial" w:ascii="Arial" w:hAnsi="Arial"/>
            <w:sz w:val="22"/>
          </w:rPr>
        </w:r>
      </w:ins>
    </w:p>
    <w:p>
      <w:pPr>
        <w:pStyle w:val="Normal"/>
        <w:jc w:val="both"/>
        <w:rPr>
          <w:rFonts w:ascii="Arial" w:hAnsi="Arial" w:cs="Arial"/>
          <w:sz w:val="22"/>
          <w:ins w:id="3" w:author="gcanovas" w:date="2001-10-26T08:44:00Z"/>
        </w:rPr>
      </w:pPr>
      <w:ins w:id="2" w:author="gcanovas" w:date="2001-10-26T08:44:00Z">
        <w:r>
          <w:rPr>
            <w:rFonts w:cs="Arial" w:ascii="Arial" w:hAnsi="Arial"/>
            <w:sz w:val="22"/>
          </w:rPr>
        </w:r>
      </w:ins>
    </w:p>
    <w:p>
      <w:pPr>
        <w:pStyle w:val="Normal"/>
        <w:jc w:val="both"/>
        <w:rPr>
          <w:rFonts w:ascii="Arial" w:hAnsi="Arial" w:cs="Arial"/>
          <w:sz w:val="22"/>
          <w:ins w:id="5" w:author="gcanovas" w:date="2001-10-26T08:44:00Z"/>
        </w:rPr>
      </w:pPr>
      <w:ins w:id="4" w:author="gcanovas" w:date="2001-10-26T08:44:00Z">
        <w:r>
          <w:rPr>
            <w:rFonts w:cs="Arial" w:ascii="Arial" w:hAnsi="Arial"/>
            <w:sz w:val="22"/>
          </w:rPr>
        </w:r>
      </w:ins>
    </w:p>
    <w:p>
      <w:pPr>
        <w:pStyle w:val="Normal"/>
        <w:jc w:val="both"/>
        <w:rPr>
          <w:rFonts w:ascii="Arial" w:hAnsi="Arial" w:cs="Arial"/>
          <w:sz w:val="22"/>
          <w:ins w:id="7" w:author="gcanovas" w:date="2001-10-26T08:34:00Z"/>
        </w:rPr>
      </w:pPr>
      <w:ins w:id="6" w:author="gcanovas" w:date="2001-10-26T08:34:00Z">
        <w:r>
          <w:rPr>
            <w:rFonts w:cs="Arial" w:ascii="Arial" w:hAnsi="Arial"/>
            <w:sz w:val="22"/>
          </w:rPr>
        </w:r>
      </w:ins>
    </w:p>
    <w:p>
      <w:pPr>
        <w:pStyle w:val="Normal"/>
        <w:jc w:val="both"/>
        <w:rPr>
          <w:rFonts w:ascii="Arial" w:hAnsi="Arial" w:cs="Arial"/>
          <w:sz w:val="22"/>
          <w:ins w:id="9" w:author="gcanovas" w:date="2001-10-26T08:34:00Z"/>
        </w:rPr>
      </w:pPr>
      <w:ins w:id="8" w:author="gcanovas" w:date="2001-10-26T08:34:00Z">
        <w:r>
          <w:rPr>
            <w:rFonts w:cs="Arial" w:ascii="Arial" w:hAnsi="Arial"/>
            <w:sz w:val="22"/>
          </w:rPr>
        </w:r>
      </w:ins>
    </w:p>
    <w:p>
      <w:pPr>
        <w:pStyle w:val="Normal"/>
        <w:jc w:val="center"/>
        <w:rPr>
          <w:rFonts w:ascii="Arial" w:hAnsi="Arial" w:cs="Arial"/>
          <w:sz w:val="22"/>
          <w:ins w:id="11" w:author="gcanovas" w:date="2001-10-26T08:34:00Z"/>
        </w:rPr>
      </w:pPr>
      <w:ins w:id="10" w:author="gcanovas" w:date="2001-10-26T08:34:00Z">
        <w:r>
          <w:rPr>
            <w:rFonts w:cs="Arial" w:ascii="Arial" w:hAnsi="Arial"/>
            <w:sz w:val="22"/>
          </w:rPr>
          <w:t>James  D. Steffes</w:t>
        </w:r>
      </w:ins>
    </w:p>
    <w:p>
      <w:pPr>
        <w:pStyle w:val="Normal"/>
        <w:jc w:val="center"/>
        <w:rPr>
          <w:rFonts w:ascii="Arial" w:hAnsi="Arial" w:cs="Arial"/>
          <w:sz w:val="22"/>
          <w:ins w:id="13" w:author="gcanovas" w:date="2001-10-26T08:44:00Z"/>
        </w:rPr>
      </w:pPr>
      <w:ins w:id="12" w:author="gcanovas" w:date="2001-10-26T08:34:00Z">
        <w:r>
          <w:rPr>
            <w:rFonts w:cs="Arial" w:ascii="Arial" w:hAnsi="Arial"/>
            <w:sz w:val="22"/>
          </w:rPr>
          <w:t>Vicepresident</w:t>
        </w:r>
      </w:ins>
    </w:p>
    <w:p>
      <w:pPr>
        <w:pStyle w:val="Normal"/>
        <w:jc w:val="center"/>
        <w:rPr>
          <w:rFonts w:ascii="Arial" w:hAnsi="Arial" w:cs="Arial"/>
          <w:sz w:val="22"/>
        </w:rPr>
      </w:pPr>
      <w:ins w:id="14" w:author="gcanovas" w:date="2001-10-26T08:44:00Z">
        <w:r>
          <w:rPr>
            <w:rFonts w:cs="Arial" w:ascii="Arial" w:hAnsi="Arial"/>
            <w:sz w:val="22"/>
          </w:rPr>
          <w:t>Government Affairs</w:t>
        </w:r>
      </w:ins>
    </w:p>
    <w:p>
      <w:pPr>
        <w:pStyle w:val="Normal"/>
        <w:jc w:val="both"/>
        <w:rPr>
          <w:rFonts w:ascii="Arial" w:hAnsi="Arial" w:cs="Arial"/>
          <w:sz w:val="22"/>
        </w:rPr>
      </w:pPr>
      <w:r>
        <w:rPr>
          <w:rFonts w:cs="Arial" w:ascii="Arial" w:hAnsi="Arial"/>
          <w:sz w:val="22"/>
        </w:rPr>
      </w:r>
      <w:r>
        <w:br w:type="page"/>
      </w:r>
    </w:p>
    <w:p>
      <w:pPr>
        <w:pStyle w:val="Normal"/>
        <w:jc w:val="both"/>
        <w:rPr>
          <w:rFonts w:ascii="Arial" w:hAnsi="Arial" w:cs="Arial"/>
          <w:sz w:val="22"/>
        </w:rPr>
      </w:pPr>
      <w:r>
        <w:rPr>
          <w:rFonts w:cs="Arial" w:ascii="Arial" w:hAnsi="Arial"/>
          <w:sz w:val="22"/>
        </w:rPr>
      </w:r>
    </w:p>
    <w:p>
      <w:pPr>
        <w:pStyle w:val="BodyText"/>
        <w:rPr/>
      </w:pPr>
      <w:r>
        <w:rPr/>
        <w:t>The DISCO of the Future: A National Forum Regarding the Future of Gas and Electric Distribution Utilities</w:t>
      </w:r>
    </w:p>
    <w:p>
      <w:pPr>
        <w:pStyle w:val="Normal"/>
        <w:jc w:val="both"/>
        <w:rPr>
          <w:rFonts w:ascii="Arial" w:hAnsi="Arial" w:cs="Arial"/>
          <w:sz w:val="22"/>
        </w:rPr>
      </w:pPr>
      <w:r>
        <w:rPr>
          <w:rFonts w:cs="Arial" w:ascii="Arial" w:hAnsi="Arial"/>
          <w:sz w:val="22"/>
        </w:rPr>
      </w:r>
    </w:p>
    <w:p>
      <w:pPr>
        <w:pStyle w:val="BodyText2"/>
        <w:rPr>
          <w:rFonts w:ascii="Arial" w:hAnsi="Arial" w:cs="Arial"/>
          <w:b/>
          <w:bCs/>
          <w:sz w:val="22"/>
        </w:rPr>
      </w:pPr>
      <w:r>
        <w:rPr>
          <w:rFonts w:cs="Arial"/>
          <w:b/>
          <w:bCs/>
          <w:sz w:val="22"/>
        </w:rPr>
      </w:r>
    </w:p>
    <w:p>
      <w:pPr>
        <w:pStyle w:val="BodyText2"/>
        <w:rPr>
          <w:b/>
          <w:bCs/>
        </w:rPr>
      </w:pPr>
      <w:r>
        <w:rPr>
          <w:b/>
          <w:bCs/>
        </w:rPr>
        <w:t>Unbundling of core services</w:t>
      </w:r>
    </w:p>
    <w:p>
      <w:pPr>
        <w:pStyle w:val="BodyText2"/>
        <w:rPr/>
      </w:pPr>
      <w:r>
        <w:rPr/>
        <w:t>Although in general the paper recognizes the benefits of competition, it does not clearly states the importance of unbundling the core services in order to develop competitive markets.</w:t>
      </w:r>
    </w:p>
    <w:p>
      <w:pPr>
        <w:pStyle w:val="BodyText2"/>
        <w:rPr/>
      </w:pPr>
      <w:r>
        <w:rPr/>
        <w:t>In fact, it just mentions the alternative positions (</w:t>
      </w:r>
      <w:r>
        <w:rPr>
          <w:i/>
          <w:iCs/>
        </w:rPr>
        <w:t>“Concerns over market power lead to a conclusion that functional or structural unbundling is necessary.  Concerns over the loss of economies of scale argue for the status quo.”</w:t>
      </w:r>
      <w:r>
        <w:rPr/>
        <w:t xml:space="preserve">). </w:t>
      </w:r>
    </w:p>
    <w:p>
      <w:pPr>
        <w:pStyle w:val="BodyText2"/>
        <w:rPr/>
      </w:pPr>
      <w:r>
        <w:rPr/>
        <w:t xml:space="preserve">We believe that in order to reach the benefits of competitive markets, it is critical that the utility abandons any merchant function (except, eventually, as Provider of Last Resort). While energy transmission and distribution are natural monopolies (and therefore, are more efficiently rendered by only one supplier), the production and marketing of energy can be efficiently performed by competitive suppliers. </w:t>
      </w:r>
    </w:p>
    <w:p>
      <w:pPr>
        <w:pStyle w:val="BodyText2"/>
        <w:rPr/>
      </w:pPr>
      <w:r>
        <w:rPr/>
        <w:t>As far as utilities are allowed to keep a merchant function, they have incentives to discriminate benefiting those users who purchase a bundled service preventing the development of a truly competitive market.</w:t>
      </w:r>
    </w:p>
    <w:p>
      <w:pPr>
        <w:pStyle w:val="BodyText2"/>
        <w:rPr/>
      </w:pPr>
      <w:r>
        <w:rPr/>
        <w:t>This was one of the reasons that lead FERC to approve its Order 636 in 1992 forcing transporters out of the merchant function. This should be the reason to make utilities focus on their natural monopoly functions.</w:t>
      </w:r>
    </w:p>
    <w:p>
      <w:pPr>
        <w:pStyle w:val="BodyText2"/>
        <w:rPr/>
      </w:pPr>
      <w:r>
        <w:rPr/>
      </w:r>
    </w:p>
    <w:p>
      <w:pPr>
        <w:pStyle w:val="Heading1"/>
        <w:ind w:hanging="0" w:start="0"/>
        <w:rPr/>
      </w:pPr>
      <w:r>
        <w:rPr/>
        <w:t>Restrictions to competitive energy services</w:t>
      </w:r>
    </w:p>
    <w:p>
      <w:pPr>
        <w:pStyle w:val="Normal"/>
        <w:jc w:val="both"/>
        <w:rPr>
          <w:rFonts w:ascii="Arial" w:hAnsi="Arial" w:cs="Arial"/>
          <w:sz w:val="22"/>
        </w:rPr>
      </w:pPr>
      <w:r>
        <w:rPr>
          <w:rFonts w:cs="Arial" w:ascii="Arial" w:hAnsi="Arial"/>
          <w:sz w:val="22"/>
        </w:rPr>
        <w:t>As in the case of the core services, the author seems to consider equally beneficial the different policy options available to regulators regarding what he calls “competitive energy services”. Among the options to be explored by regulators he includes, for instance, on one hand, allow unrestricted utility and unregulated affiliate participation and on the other hand, prohibit participation by the utility and the utility affiliate.</w:t>
      </w:r>
    </w:p>
    <w:p>
      <w:pPr>
        <w:pStyle w:val="BodyText2"/>
        <w:rPr/>
      </w:pPr>
      <w:r>
        <w:rPr/>
        <w:t xml:space="preserve">We believe that, as far as the market for these services are potentially competitive the utility should not provide them. Otherwise, the presence of the utility could undermine those markets, discouraging other potential suppliers. Besides, the utility could use the supply of “competitive services” to leverage its competitiveness in the core energy services, deterring its competitors in these markets also. </w:t>
      </w:r>
    </w:p>
    <w:p>
      <w:pPr>
        <w:pStyle w:val="BodyText2"/>
        <w:rPr/>
      </w:pPr>
      <w:r>
        <w:rPr/>
        <w:t xml:space="preserve">We consider that in order to enhance competition in both core and non-core competitive energy services markets, the utility should only participate in its service territory through </w:t>
      </w:r>
      <w:ins w:id="15" w:author="gcanovas" w:date="2001-10-26T08:49:00Z">
        <w:r>
          <w:rPr/>
          <w:t>its</w:t>
        </w:r>
      </w:ins>
      <w:del w:id="16" w:author="gcanovas" w:date="2001-10-26T08:49:00Z">
        <w:r>
          <w:rPr/>
          <w:delText>an</w:delText>
        </w:r>
      </w:del>
      <w:r>
        <w:rPr/>
        <w:t xml:space="preserve"> affiliate</w:t>
      </w:r>
      <w:del w:id="17" w:author="gcanovas" w:date="2001-10-25T18:22:00Z">
        <w:r>
          <w:rPr/>
          <w:delText>, which should respect a predetermined market share cap</w:delText>
        </w:r>
      </w:del>
      <w:r>
        <w:rPr/>
        <w:t>.</w:t>
      </w:r>
    </w:p>
    <w:p>
      <w:pPr>
        <w:pStyle w:val="BodyText2"/>
        <w:rPr/>
      </w:pPr>
      <w:r>
        <w:rPr/>
      </w:r>
    </w:p>
    <w:p>
      <w:pPr>
        <w:pStyle w:val="Heading1"/>
        <w:ind w:hanging="0" w:start="0"/>
        <w:rPr/>
      </w:pPr>
      <w:r>
        <w:rPr/>
        <w:t>Standards for retail service providers</w:t>
      </w:r>
    </w:p>
    <w:p>
      <w:pPr>
        <w:pStyle w:val="BodyText2"/>
        <w:rPr/>
      </w:pPr>
      <w:r>
        <w:rPr/>
        <w:t>The author recommends that regulators should apply a set of uniform business practices to the energy service providers. According to him, regulations must consider (1) a customer application for credit, (2) the bill format, (3) the terms for bill payment, (4) regulations relating to unfair and deceptive practices, (5) telemarketing and "do not call provisions</w:t>
      </w:r>
      <w:del w:id="18" w:author="gcanovas" w:date="2001-10-25T18:23:00Z">
        <w:r>
          <w:rPr/>
          <w:delText>,</w:delText>
        </w:r>
      </w:del>
      <w:r>
        <w:rPr/>
        <w:t>" and (6) contract terms of service.</w:t>
      </w:r>
    </w:p>
    <w:p>
      <w:pPr>
        <w:pStyle w:val="Normal"/>
        <w:jc w:val="both"/>
        <w:rPr>
          <w:ins w:id="21" w:author="gcanovas" w:date="2001-10-25T18:25:00Z"/>
        </w:rPr>
      </w:pPr>
      <w:r>
        <w:rPr>
          <w:rFonts w:cs="Arial" w:ascii="Arial" w:hAnsi="Arial"/>
          <w:sz w:val="22"/>
        </w:rPr>
        <w:t xml:space="preserve">We believe </w:t>
      </w:r>
      <w:ins w:id="19" w:author="gcanovas" w:date="2001-10-25T18:23:00Z">
        <w:r>
          <w:rPr>
            <w:rFonts w:cs="Arial" w:ascii="Arial" w:hAnsi="Arial"/>
            <w:sz w:val="22"/>
          </w:rPr>
          <w:t>that uniform business practices can improve the supply of monopolistic regulated services.</w:t>
        </w:r>
      </w:ins>
      <w:ins w:id="20" w:author="gcanovas" w:date="2001-10-25T18:25:00Z">
        <w:r>
          <w:rPr>
            <w:rFonts w:cs="Arial" w:ascii="Arial" w:hAnsi="Arial"/>
            <w:sz w:val="22"/>
          </w:rPr>
          <w:t xml:space="preserve"> </w:t>
        </w:r>
      </w:ins>
    </w:p>
    <w:p>
      <w:pPr>
        <w:pStyle w:val="Normal"/>
        <w:jc w:val="both"/>
        <w:rPr/>
      </w:pPr>
      <w:ins w:id="22" w:author="gcanovas" w:date="2001-10-25T18:25:00Z">
        <w:r>
          <w:rPr>
            <w:rFonts w:cs="Arial" w:ascii="Arial" w:hAnsi="Arial"/>
            <w:sz w:val="22"/>
          </w:rPr>
          <w:t xml:space="preserve">However, in the case of competitive service providers </w:t>
        </w:r>
      </w:ins>
      <w:r>
        <w:rPr>
          <w:rFonts w:cs="Arial" w:ascii="Arial" w:hAnsi="Arial"/>
          <w:sz w:val="22"/>
        </w:rPr>
        <w:t xml:space="preserve">this kind of standards make sense only in the supply to residential and human needs customers since these groups need the protection of the regulator more than any other group. </w:t>
      </w:r>
    </w:p>
    <w:p>
      <w:pPr>
        <w:pStyle w:val="Normal"/>
        <w:jc w:val="both"/>
        <w:rPr/>
      </w:pPr>
      <w:del w:id="23" w:author="gcanovas" w:date="2001-10-25T18:26:00Z">
        <w:r>
          <w:rPr>
            <w:rFonts w:cs="Arial" w:ascii="Arial" w:hAnsi="Arial"/>
            <w:sz w:val="22"/>
          </w:rPr>
          <w:delText>However, t</w:delText>
        </w:r>
      </w:del>
      <w:ins w:id="24" w:author="gcanovas" w:date="2001-10-25T18:26:00Z">
        <w:r>
          <w:rPr>
            <w:rFonts w:cs="Arial" w:ascii="Arial" w:hAnsi="Arial"/>
            <w:sz w:val="22"/>
          </w:rPr>
          <w:t>T</w:t>
        </w:r>
      </w:ins>
      <w:r>
        <w:rPr>
          <w:rFonts w:cs="Arial" w:ascii="Arial" w:hAnsi="Arial"/>
          <w:sz w:val="22"/>
        </w:rPr>
        <w:t xml:space="preserve">o extend this kind of standards to other customer classes is not only unnecessary but also negative. It is unnecessary since bigger customers do not need such a detailed protection since in a competitive market suppliers will have to offer attractive conditions to gain market share. Any supplier using deceptive practices will quickly be expelled of the market, by the forces of demand and supply and the </w:t>
      </w:r>
      <w:ins w:id="25" w:author="gcanovas" w:date="2001-10-25T18:27:00Z">
        <w:r>
          <w:rPr>
            <w:rFonts w:cs="Arial" w:ascii="Arial" w:hAnsi="Arial"/>
            <w:sz w:val="22"/>
          </w:rPr>
          <w:t>fast</w:t>
        </w:r>
      </w:ins>
      <w:del w:id="26" w:author="gcanovas" w:date="2001-10-25T18:27:00Z">
        <w:r>
          <w:rPr>
            <w:rFonts w:cs="Arial" w:ascii="Arial" w:hAnsi="Arial"/>
            <w:sz w:val="22"/>
          </w:rPr>
          <w:delText>quick</w:delText>
        </w:r>
      </w:del>
      <w:r>
        <w:rPr>
          <w:rFonts w:cs="Arial" w:ascii="Arial" w:hAnsi="Arial"/>
          <w:sz w:val="22"/>
        </w:rPr>
        <w:t xml:space="preserve"> dissemination of information.</w:t>
      </w:r>
    </w:p>
    <w:p>
      <w:pPr>
        <w:pStyle w:val="Normal"/>
        <w:jc w:val="both"/>
        <w:rPr/>
      </w:pPr>
      <w:r>
        <w:rPr>
          <w:rFonts w:cs="Arial" w:ascii="Arial" w:hAnsi="Arial"/>
          <w:sz w:val="22"/>
        </w:rPr>
        <w:t>Moreover, setting uniform business practices</w:t>
      </w:r>
      <w:ins w:id="27" w:author="gcanovas" w:date="2001-10-25T18:28:00Z">
        <w:r>
          <w:rPr>
            <w:rFonts w:cs="Arial" w:ascii="Arial" w:hAnsi="Arial"/>
            <w:sz w:val="22"/>
          </w:rPr>
          <w:t xml:space="preserve"> to competitive service providers</w:t>
        </w:r>
      </w:ins>
      <w:r>
        <w:rPr>
          <w:rFonts w:cs="Arial" w:ascii="Arial" w:hAnsi="Arial"/>
          <w:sz w:val="22"/>
        </w:rPr>
        <w:t xml:space="preserve"> for the provision to commercial/industrial customers is also negative for the following reasons: 1) Regulators would spend resources in activities that are better regulated by market forces; 2) Over-regulation or wrong regulations could deter service providers from competing in the market; 3) Over-regulation or wrong regulations could prevent providers from offering certain services and discourage innovation.</w:t>
      </w:r>
    </w:p>
    <w:p>
      <w:pPr>
        <w:pStyle w:val="Normal"/>
        <w:jc w:val="both"/>
        <w:rPr>
          <w:rFonts w:ascii="Arial" w:hAnsi="Arial" w:cs="Arial"/>
          <w:sz w:val="22"/>
        </w:rPr>
      </w:pPr>
      <w:r>
        <w:rPr>
          <w:rFonts w:cs="Arial" w:ascii="Arial" w:hAnsi="Arial"/>
          <w:sz w:val="22"/>
        </w:rPr>
      </w:r>
    </w:p>
    <w:p>
      <w:pPr>
        <w:pStyle w:val="Heading1"/>
        <w:ind w:hanging="0" w:start="0"/>
        <w:rPr/>
      </w:pPr>
      <w:r>
        <w:rPr/>
        <w:t>Pricing Flexibility</w:t>
      </w:r>
    </w:p>
    <w:p>
      <w:pPr>
        <w:pStyle w:val="Normal"/>
        <w:jc w:val="both"/>
        <w:rPr>
          <w:rFonts w:ascii="Arial" w:hAnsi="Arial" w:cs="Arial"/>
          <w:sz w:val="22"/>
        </w:rPr>
      </w:pPr>
      <w:r>
        <w:rPr>
          <w:rFonts w:cs="Arial" w:ascii="Arial" w:hAnsi="Arial"/>
          <w:sz w:val="22"/>
        </w:rPr>
        <w:t xml:space="preserve">The paper recommends pricing flexibility for distribution utilities to allow them to differentiate among customers on the basis of individual and customer class price elasticity.  </w:t>
      </w:r>
    </w:p>
    <w:p>
      <w:pPr>
        <w:pStyle w:val="BodyText2"/>
        <w:rPr/>
      </w:pPr>
      <w:r>
        <w:rPr/>
        <w:t xml:space="preserve">We consider that in order to assure a leveled playing field and market competition, distribution rates for the transmission (“wire”) service must be unbundled and be exactly the same whether the commodity is provided by the utility, its affiliate or an alternative supplier. Otherwise, price flexibility could be a window to introduce anti-competitive practices. </w:t>
      </w:r>
    </w:p>
    <w:p>
      <w:pPr>
        <w:pStyle w:val="Normal"/>
        <w:jc w:val="both"/>
        <w:rPr>
          <w:rFonts w:ascii="Arial" w:hAnsi="Arial" w:cs="Arial"/>
          <w:sz w:val="22"/>
        </w:rPr>
      </w:pPr>
      <w:r>
        <w:rPr>
          <w:rFonts w:cs="Arial" w:ascii="Arial" w:hAnsi="Arial"/>
          <w:sz w:val="22"/>
        </w:rPr>
      </w:r>
    </w:p>
    <w:p>
      <w:pPr>
        <w:pStyle w:val="Heading1"/>
        <w:ind w:hanging="0" w:start="0"/>
        <w:rPr/>
      </w:pPr>
      <w:r>
        <w:rPr/>
        <w:t>Competition in Delivery Functions</w:t>
      </w:r>
    </w:p>
    <w:p>
      <w:pPr>
        <w:pStyle w:val="Normal"/>
        <w:jc w:val="both"/>
        <w:rPr>
          <w:rFonts w:ascii="Arial" w:hAnsi="Arial" w:cs="Arial"/>
          <w:sz w:val="22"/>
        </w:rPr>
      </w:pPr>
      <w:r>
        <w:rPr>
          <w:rFonts w:cs="Arial" w:ascii="Arial" w:hAnsi="Arial"/>
          <w:sz w:val="22"/>
        </w:rPr>
        <w:t>We agree with the author in that regulators should be open to the idea that new technologies may permit in the future deregulate activities that are currently regulated.</w:t>
      </w:r>
    </w:p>
    <w:p>
      <w:pPr>
        <w:pStyle w:val="Normal"/>
        <w:jc w:val="both"/>
        <w:rPr>
          <w:rFonts w:ascii="Arial" w:hAnsi="Arial" w:cs="Arial"/>
          <w:sz w:val="22"/>
        </w:rPr>
      </w:pPr>
      <w:r>
        <w:rPr>
          <w:rFonts w:cs="Arial" w:ascii="Arial" w:hAnsi="Arial"/>
          <w:sz w:val="22"/>
        </w:rPr>
        <w:t>However, we believe it should be clearly stated that the eventual deregulation of the current natural monopolies must not jeopardize competition in other markets. Some international experiences (as the case of Germany) teach us that a very light hand regulation can lead to serious difficulties to have open and non-discriminatory access to the utility’s network.</w:t>
      </w:r>
    </w:p>
    <w:p>
      <w:pPr>
        <w:pStyle w:val="Normal"/>
        <w:jc w:val="both"/>
        <w:rPr>
          <w:rFonts w:ascii="Arial" w:hAnsi="Arial" w:cs="Arial"/>
          <w:sz w:val="22"/>
          <w:u w:val="single"/>
        </w:rPr>
      </w:pPr>
      <w:r>
        <w:rPr>
          <w:rFonts w:cs="Arial" w:ascii="Arial" w:hAnsi="Arial"/>
          <w:sz w:val="22"/>
          <w:u w:val="single"/>
        </w:rPr>
      </w:r>
    </w:p>
    <w:p>
      <w:pPr>
        <w:pStyle w:val="BodyText2"/>
        <w:rPr>
          <w:rFonts w:ascii="Arial" w:hAnsi="Arial" w:cs="Arial"/>
          <w:sz w:val="22"/>
          <w:u w:val="single"/>
        </w:rPr>
      </w:pPr>
      <w:r>
        <w:rPr>
          <w:rFonts w:cs="Arial"/>
          <w:sz w:val="22"/>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Salutation">
    <w:name w:val="Salutation"/>
    <w:basedOn w:val="Normal"/>
    <w:next w:val="Normal"/>
    <w:qFormat/>
    <w:pPr/>
    <w:rPr/>
  </w:style>
  <w:style w:type="paragraph" w:styleId="BodyTextIndent3">
    <w:name w:val="Body Text Indent 3"/>
    <w:basedOn w:val="Normal"/>
    <w:qFormat/>
    <w:pPr>
      <w:ind w:hanging="0" w:start="360" w:end="0"/>
      <w:jc w:val="both"/>
    </w:pPr>
    <w:rPr>
      <w:rFonts w:ascii="Arial" w:hAnsi="Arial" w:cs="Arial"/>
      <w:sz w:val="26"/>
      <w:szCs w:val="20"/>
      <w:lang w:val="es-A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2001-10-26T11:23:00Z</dcterms:created>
  <dc:creator>gcanovas</dc:creator>
  <dc:description/>
  <dc:language>en-CA</dc:language>
  <cp:lastModifiedBy>gcanovas</cp:lastModifiedBy>
  <cp:lastPrinted>2001-10-25T15:23:00Z</cp:lastPrinted>
  <dcterms:modified xsi:type="dcterms:W3CDTF">2001-10-26T11:23:00Z</dcterms:modified>
  <cp:revision>2</cp:revision>
  <dc:subject/>
  <dc:title>The DISCO of the Future: A National Forum Regardingthe Future of Gas and Electric Distribution Utilities</dc:title>
</cp:coreProperties>
</file>