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NO. 2001-61378</w:t>
      </w:r>
    </w:p>
    <w:p>
      <w:pPr>
        <w:pStyle w:val="Caption"/>
        <w:rPr/>
      </w:pPr>
      <w:r>
        <w:rPr/>
        <w:t>DYNEGY INC. and</w:t>
        <w:tab/>
        <w:tab/>
        <w:t>§</w:t>
        <w:tab/>
        <w:t>IN THE DISTRICT COURT OF</w:t>
        <w:br/>
        <w:t>DYNEGY HOLDINGS INC.</w:t>
        <w:tab/>
        <w:tab/>
        <w:t>§</w:t>
      </w:r>
    </w:p>
    <w:p>
      <w:pPr>
        <w:pStyle w:val="Caption"/>
        <w:rPr/>
      </w:pPr>
      <w:r>
        <w:rPr/>
        <w:tab/>
        <w:tab/>
        <w:t>§</w:t>
        <w:br/>
        <w:tab/>
        <w:tab/>
        <w:t>§</w:t>
        <w:br/>
        <w:t>VS.</w:t>
        <w:tab/>
        <w:tab/>
        <w:t>§</w:t>
        <w:tab/>
        <w:t>HARRIS COUNTY, T E X A S</w:t>
      </w:r>
    </w:p>
    <w:p>
      <w:pPr>
        <w:pStyle w:val="Caption"/>
        <w:rPr/>
      </w:pPr>
      <w:r>
        <w:rPr/>
        <w:tab/>
        <w:tab/>
        <w:t>§</w:t>
        <w:br/>
        <w:tab/>
        <w:tab/>
        <w:t>§</w:t>
        <w:br/>
        <w:t>CGNN HOLDING COMPANY, INC. and</w:t>
        <w:tab/>
        <w:t>§</w:t>
      </w:r>
    </w:p>
    <w:p>
      <w:pPr>
        <w:pStyle w:val="Caption"/>
        <w:rPr/>
      </w:pPr>
      <w:r>
        <w:rPr/>
        <w:t>MCTJ HOLDING CO. LLC</w:t>
        <w:tab/>
        <w:tab/>
        <w:t>§</w:t>
        <w:tab/>
        <w:t>333rd JUDICIAL DISTRICT</w:t>
      </w:r>
    </w:p>
    <w:p>
      <w:pPr>
        <w:pStyle w:val="Normal"/>
        <w:rPr/>
      </w:pPr>
      <w:r>
        <w:rPr/>
      </w:r>
    </w:p>
    <w:p>
      <w:pPr>
        <w:pStyle w:val="Normal"/>
        <w:jc w:val="center"/>
        <w:rPr>
          <w:b/>
        </w:rPr>
      </w:pPr>
      <w:r>
        <w:rPr>
          <w:b/>
        </w:rPr>
      </w:r>
    </w:p>
    <w:p>
      <w:pPr>
        <w:pStyle w:val="Normal"/>
        <w:jc w:val="center"/>
        <w:rPr>
          <w:b/>
          <w:u w:val="single"/>
        </w:rPr>
      </w:pPr>
      <w:r>
        <w:rPr>
          <w:b/>
        </w:rPr>
        <w:t>AGREED JUDGMENT</w:t>
      </w:r>
    </w:p>
    <w:p>
      <w:pPr>
        <w:pStyle w:val="Normal"/>
        <w:jc w:val="center"/>
        <w:rPr>
          <w:b/>
          <w:u w:val="single"/>
        </w:rPr>
      </w:pPr>
      <w:r>
        <w:rPr>
          <w:b/>
          <w:u w:val="single"/>
        </w:rPr>
      </w:r>
    </w:p>
    <w:p>
      <w:pPr>
        <w:pStyle w:val="Normal"/>
        <w:spacing w:lineRule="auto" w:line="480"/>
        <w:rPr/>
      </w:pPr>
      <w:r>
        <w:rPr/>
        <w:tab/>
        <w:tab/>
        <w:t xml:space="preserve">Plaintiffs Dynegy Inc. (“Dynegy”) and Dynegy Holdings Inc. (“Dynegy Holdings”) sued Defendants CGNN Holding Company, Inc. (“CGNN”) and MCTJ Holding Co. LLC (“MCTJ”) seeking a temporary injunction, specific performance, declaratory relief, and damages for an alleged breach of an Option Agreement, dated as of November 9, 2001, as amended by an Amendment to Option Agreement, dated as of November 19, 2001 (as amended, the “Option Agreement”).  </w:t>
      </w:r>
    </w:p>
    <w:p>
      <w:pPr>
        <w:pStyle w:val="Normal"/>
        <w:spacing w:lineRule="auto" w:line="480"/>
        <w:rPr/>
      </w:pPr>
      <w:r>
        <w:rPr/>
        <w:tab/>
        <w:tab/>
        <w:t xml:space="preserve">On November 28, 2001, Dynegy provided Enron Corp. (“Enron”) with written notice that it was terminating the November 9, 2001 Merger Agreement between Dynegy and Enron and related parties pursuant to section 9.4(a) of that agreement.  Immediately thereafter, Dynegy Holdings provided written notice to CGNN that it was exercising the option under section 2.5.1.4 of the Option Agreement to purchase all of the outstanding membership interests in MCTJ.  On December 10, 2001, Dynegy Holdings provided written notice to CGNN that it was exercising the option under section 2.5.1.5 of the Option Agreement to purchase all of the outstanding membership interests in MCTJ.  </w:t>
      </w:r>
    </w:p>
    <w:p>
      <w:pPr>
        <w:pStyle w:val="Normal"/>
        <w:spacing w:lineRule="auto" w:line="480"/>
        <w:rPr/>
      </w:pPr>
      <w:r>
        <w:rPr/>
        <w:tab/>
        <w:tab/>
        <w:t>CGNN and MCTJ have generally appeared in this lawsuit.  CGNN and MCTJ, as well as their indirect and direct parent companies, Enron and Enron Transportation Services Co. (“Enron Transportation”), dispute Dynegy Holdings’ right to exercise the option to purchase all of the outstanding membership interests in MCTJ under the Option Agreement.</w:t>
      </w:r>
    </w:p>
    <w:p>
      <w:pPr>
        <w:pStyle w:val="BodyTextFirstIndent2"/>
        <w:rPr/>
      </w:pPr>
      <w:r>
        <w:rPr/>
        <w:t xml:space="preserve">While admitting no liability, Plaintiffs Dynegy and Dynegy Holdings and Defendants CGNN and MCTJ have agreed to the entry of this Agreed Judgment pursuant to the attached Settlement Agreement Among Dynegy Inc., Dynegy Holdings Inc., CGNN Holding Company, Inc. and MCTJ Holding Co. LLC with exhibits (the “MCTJ Settlement Agreement”) dated December __, 2001.  </w:t>
      </w:r>
    </w:p>
    <w:p>
      <w:pPr>
        <w:pStyle w:val="BodyTextFirstIndent2"/>
        <w:rPr/>
      </w:pPr>
      <w:r>
        <w:rPr/>
        <w:t>Therefore, the Court hereby ORDERS, DECREES, and ENTERS FINAL JUDGMENT as follows:</w:t>
      </w:r>
    </w:p>
    <w:p>
      <w:pPr>
        <w:pStyle w:val="Heading1"/>
        <w:keepNext w:val="false"/>
        <w:ind w:hanging="0" w:start="0"/>
        <w:rPr/>
      </w:pPr>
      <w:r>
        <w:rPr/>
        <w:t xml:space="preserve">CGNN, MCTJ, Dynegy, and Dynegy Holdings shall take all steps necessary for a closing, as defined and provided for in the Option Agreement, and the delivery at said closing of all outstanding membership interests in MCTJ to Dynegy Holdings pursuant to the terms of the Option Agreement, as amended by the MCTJ Settlement Agreement.  </w:t>
      </w:r>
    </w:p>
    <w:p>
      <w:pPr>
        <w:pStyle w:val="Heading1"/>
        <w:keepNext w:val="false"/>
        <w:ind w:hanging="0" w:start="0"/>
        <w:rPr/>
      </w:pPr>
      <w:r>
        <w:rPr/>
        <w:t xml:space="preserve">The closing shall occur as soon as reasonably possible, </w:t>
      </w:r>
      <w:r>
        <w:rPr>
          <w:lang w:eastAsia="en-US"/>
        </w:rPr>
        <w:t xml:space="preserve">but in no event later than the earlier of (i) January 30, 2002 and (ii) the day before the expiration of the Standstill Period as defined in the Agreement and Consent. </w:t>
      </w:r>
    </w:p>
    <w:p>
      <w:pPr>
        <w:pStyle w:val="Heading1"/>
        <w:keepNext w:val="false"/>
        <w:ind w:hanging="0" w:start="0"/>
        <w:rPr/>
      </w:pPr>
      <w:r>
        <w:rPr/>
        <w:t>CGNN, MCTJ, Dynegy, and Dynegy Holdings shall perform their respective covenants and obligations under the Option Agreement, including but not limited to satisfying all conditions to Closing referred to in section 3.3 of the Option Agreement, complying with all covenants referred to in section 4 of the Option Agreement, and complying with all other covenants and obligations under the Option Agreement, as modified by the MCTJ Settlement Agreement.</w:t>
      </w:r>
    </w:p>
    <w:p>
      <w:pPr>
        <w:pStyle w:val="Heading1"/>
        <w:keepNext w:val="false"/>
        <w:ind w:hanging="0" w:start="0"/>
        <w:rPr/>
      </w:pPr>
      <w:r>
        <w:rPr/>
        <w:t>CGNN, MCTJ, Dynegy, and Dynegy Holdings specifically shall comply with all their obligations referred to in section 4.1 of the Option Agreement.</w:t>
      </w:r>
    </w:p>
    <w:p>
      <w:pPr>
        <w:pStyle w:val="Heading1"/>
        <w:keepNext w:val="false"/>
        <w:ind w:hanging="0" w:start="0"/>
        <w:rPr/>
      </w:pPr>
      <w:r>
        <w:rPr/>
        <w:t>In accordance with the definition of Estimated Working Capital in the Option Agreement, CGNN shall deliver to Dynegy and Dynegy Holdings a good faith estimate of Estimated Working Capital by the date five (5) business days prior to the scheduled Closing.</w:t>
      </w:r>
    </w:p>
    <w:p>
      <w:pPr>
        <w:pStyle w:val="Heading1"/>
        <w:keepNext w:val="false"/>
        <w:ind w:hanging="0" w:start="0"/>
        <w:rPr/>
      </w:pPr>
      <w:r>
        <w:rPr/>
        <w:t>CGNN, MCTJ, Dynegy, and Dynegy Holdings specifically shall comply with all obligations referred to in section 2.6 of the Option Agreement for calculation of Final Working Capital and the settlement of the working capital adjustment.</w:t>
      </w:r>
    </w:p>
    <w:p>
      <w:pPr>
        <w:pStyle w:val="Heading1"/>
        <w:keepNext w:val="false"/>
        <w:ind w:hanging="0" w:start="0"/>
        <w:rPr/>
      </w:pPr>
      <w:r>
        <w:rPr/>
        <w:t>Upon payment by Dynegy of the Exercise Price (as defined in the Option Agreement) to CGNN pursuant to section 2.3 of the Option Agreement, CGNN shall segregate such funds from all other funds and place such funds in an escrow account with an independent commercial bank pursuant to a customary escrow agreement and shall not subject such funds to any encumbrance or zero balance cash management program or other cash sweep or other cash management program of any bankrupt entity or otherwise commingle such funds with any other funds, until such time as the parties have certified to the escrow agent that all obligations under section 2.6 of the Option Agreement are completed.</w:t>
      </w:r>
    </w:p>
    <w:p>
      <w:pPr>
        <w:pStyle w:val="Heading1"/>
        <w:keepNext w:val="false"/>
        <w:ind w:hanging="0" w:start="0"/>
        <w:rPr/>
      </w:pPr>
      <w:r>
        <w:rPr/>
        <w:t>CGNN, MCTJ, Dynegy, and Dynegy Holdings shall perform their respective covenants and obligations in the Purchase Option Agreement, dated November 9, 2001, as amended by the Amendment to Purchase Option Agreement, dated November 19, 2001 and as amended by the MCTJ Settlement Agreement and this Judgment.</w:t>
      </w:r>
    </w:p>
    <w:p>
      <w:pPr>
        <w:pStyle w:val="Heading1"/>
        <w:keepNext w:val="false"/>
        <w:ind w:hanging="0" w:start="0"/>
        <w:rPr/>
      </w:pPr>
      <w:r>
        <w:rPr/>
        <w:t>Each party shall bear its own costs and attorneys’ fees.</w:t>
      </w:r>
    </w:p>
    <w:p>
      <w:pPr>
        <w:pStyle w:val="Heading1"/>
        <w:keepNext w:val="false"/>
        <w:ind w:hanging="0" w:start="0"/>
        <w:rPr/>
      </w:pPr>
      <w:r>
        <w:rPr/>
        <w:t>This Judgment will not bar any claim or counterclaim asserted or to be asserted by any party against any other party in the adversary proceeding styled No. 01-03626(AJG), Case No. 01-16034(AJG) (Chapter 11), Enron Corp., Enron Transportation Services Co., CGNN Holding Company LLC, and MCTJ Holding Co. LLC vs. Dynegy Inc. and Dynegy Holdings Inc. (the “Adversary Proceeding”), or have any collateral estoppel or res judicata effect in the Adversary Proceeding, other than that Enron may not contend that Dynegy Holdings had no right to delivery of the membership interests in MCTJ prior to the resolution of the dispute over the validity of Dynegy Holdings’ exercise of the option. Enron’s, Enron Transportation’s, and CGNN’s claims for damages for wrongful exercise of the Option Agreement are  preserved in all respects.</w:t>
      </w:r>
    </w:p>
    <w:p>
      <w:pPr>
        <w:pStyle w:val="Heading1"/>
        <w:keepNext w:val="false"/>
        <w:ind w:hanging="0" w:start="0"/>
        <w:rPr/>
      </w:pPr>
      <w:r>
        <w:rPr/>
        <w:t xml:space="preserve">CGNN agrees that it will not be a party to any claim in the Adversary Proceeding seeking to recover damages against Dynegy and/or Dynegy Holdings based on the alleged wrongful exercise of the option pursuant to the Option Agreement, </w:t>
      </w:r>
      <w:r>
        <w:rPr>
          <w:u w:val="single"/>
        </w:rPr>
        <w:t>provided</w:t>
      </w:r>
      <w:r>
        <w:rPr/>
        <w:t xml:space="preserve">, </w:t>
      </w:r>
      <w:r>
        <w:rPr>
          <w:u w:val="single"/>
        </w:rPr>
        <w:t>however</w:t>
      </w:r>
      <w:r>
        <w:rPr/>
        <w:t>, that Dynegy and Dynegy Holdings agree that, in response to such any claim by Enron (and/or any subsidiaries or affiliates of Enron other than CGNN) asserting that Dynegy and Dynegy Holdings improperly exercised the option under the Option Agreement and should be held liable for damages as a result, Dynegy and Dynegy Holdings will not contend that CGNN is a necessary or indispensable party or the real party in interest on any such claim, or that the absence of CGNN from the proceeding and/or claim in any way adversely affects or impairs the claim or the plaintiffs’ entitlement to damages.</w:t>
      </w:r>
    </w:p>
    <w:p>
      <w:pPr>
        <w:pStyle w:val="Heading1"/>
        <w:keepNext w:val="false"/>
        <w:ind w:hanging="0" w:start="0"/>
        <w:rPr/>
      </w:pPr>
      <w:r>
        <w:rPr/>
        <w:t>This case is hereby dismissed with prejudice.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pPr>
      <w:r>
        <w:rPr/>
        <w:tab/>
        <w:tab/>
      </w:r>
      <w:r>
        <w:rPr>
          <w:rFonts w:cs="Times New Roman" w:ascii="Times New Roman" w:hAnsi="Times New Roman"/>
          <w:color w:val="000000"/>
        </w:rPr>
        <w:tab/>
        <w:tab/>
        <w:t>SIGNED this _____ day of _____________________, 200__.</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5040" w:end="0"/>
        <w:jc w:val="both"/>
        <w:rPr>
          <w:rFonts w:ascii="Times New Roman" w:hAnsi="Times New Roman" w:cs="Times New Roman"/>
          <w:color w:val="000000"/>
          <w:u w:val="single"/>
        </w:rPr>
      </w:pPr>
      <w:r>
        <w:rPr>
          <w:rFonts w:cs="Times New Roman" w:ascii="Times New Roman" w:hAnsi="Times New Roman"/>
          <w:color w:val="000000"/>
          <w:u w:val="single"/>
        </w:rPr>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5040" w:end="0"/>
        <w:jc w:val="both"/>
        <w:rPr>
          <w:rFonts w:ascii="Times New Roman" w:hAnsi="Times New Roman" w:cs="Times New Roman"/>
          <w:color w:val="000000"/>
        </w:rPr>
      </w:pPr>
      <w:r>
        <w:rPr>
          <w:rFonts w:cs="Times New Roman" w:ascii="Times New Roman" w:hAnsi="Times New Roman"/>
          <w:color w:val="000000"/>
        </w:rPr>
        <w:t>HON. TAD HALBACH</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504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5040" w:end="0"/>
        <w:jc w:val="both"/>
        <w:rPr>
          <w:rFonts w:ascii="Times New Roman" w:hAnsi="Times New Roman" w:cs="Times New Roman"/>
          <w:color w:val="000000"/>
        </w:rPr>
      </w:pPr>
      <w:r>
        <w:rPr>
          <w:rFonts w:cs="Times New Roman" w:ascii="Times New Roman" w:hAnsi="Times New Roman"/>
          <w:color w:val="000000"/>
        </w:rPr>
      </w:r>
    </w:p>
    <w:p>
      <w:pPr>
        <w:pStyle w:val="Normal"/>
        <w:rPr/>
      </w:pPr>
      <w:r>
        <w:rPr/>
        <w:t>APPROVED AS TO FORM AND SUBSTANCE:</w:t>
      </w:r>
    </w:p>
    <w:p>
      <w:pPr>
        <w:pStyle w:val="Normal"/>
        <w:rPr/>
      </w:pPr>
      <w:r>
        <w:rPr/>
      </w:r>
    </w:p>
    <w:tbl>
      <w:tblPr>
        <w:tblW w:w="10005" w:type="dxa"/>
        <w:jc w:val="start"/>
        <w:tblInd w:w="333" w:type="dxa"/>
        <w:tblLayout w:type="fixed"/>
        <w:tblCellMar>
          <w:top w:w="0" w:type="dxa"/>
          <w:start w:w="108" w:type="dxa"/>
          <w:bottom w:w="0" w:type="dxa"/>
          <w:end w:w="108" w:type="dxa"/>
        </w:tblCellMar>
      </w:tblPr>
      <w:tblGrid>
        <w:gridCol w:w="4905"/>
        <w:gridCol w:w="5100"/>
      </w:tblGrid>
      <w:tr>
        <w:trPr>
          <w:trHeight w:val="345" w:hRule="atLeast"/>
        </w:trPr>
        <w:tc>
          <w:tcPr>
            <w:tcW w:w="4905" w:type="dxa"/>
            <w:tcBorders/>
          </w:tcPr>
          <w:p>
            <w:pPr>
              <w:pStyle w:val="Normal"/>
              <w:rPr/>
            </w:pPr>
            <w:r>
              <w:rPr/>
              <w:t>BAKER BOTTS L.L.P.</w:t>
            </w:r>
          </w:p>
          <w:p>
            <w:pPr>
              <w:pStyle w:val="Normal"/>
              <w:rPr/>
            </w:pPr>
            <w:r>
              <w:rPr/>
            </w:r>
          </w:p>
          <w:p>
            <w:pPr>
              <w:pStyle w:val="Normal"/>
              <w:rPr/>
            </w:pPr>
            <w:r>
              <w:rPr/>
              <w:t>By:</w:t>
              <w:tab/>
              <w:t>_______________________</w:t>
              <w:tab/>
            </w:r>
          </w:p>
          <w:p>
            <w:pPr>
              <w:pStyle w:val="Normal"/>
              <w:rPr/>
            </w:pPr>
            <w:r>
              <w:rPr/>
              <w:tab/>
              <w:t>B. Daryl Bristow</w:t>
            </w:r>
          </w:p>
          <w:p>
            <w:pPr>
              <w:pStyle w:val="Normal"/>
              <w:rPr/>
            </w:pPr>
            <w:r>
              <w:rPr/>
              <w:tab/>
              <w:t>State Bar No. 03020000</w:t>
            </w:r>
          </w:p>
          <w:p>
            <w:pPr>
              <w:pStyle w:val="Normal"/>
              <w:rPr/>
            </w:pPr>
            <w:r>
              <w:rPr/>
              <w:tab/>
              <w:t>One Shell Plaza</w:t>
            </w:r>
          </w:p>
          <w:p>
            <w:pPr>
              <w:pStyle w:val="Normal"/>
              <w:rPr/>
            </w:pPr>
            <w:r>
              <w:rPr/>
              <w:tab/>
              <w:t>910 Louisiana</w:t>
            </w:r>
          </w:p>
          <w:p>
            <w:pPr>
              <w:pStyle w:val="Normal"/>
              <w:rPr/>
            </w:pPr>
            <w:r>
              <w:rPr/>
              <w:tab/>
              <w:t>Houston, Texas 77002</w:t>
            </w:r>
          </w:p>
          <w:p>
            <w:pPr>
              <w:pStyle w:val="Normal"/>
              <w:rPr/>
            </w:pPr>
            <w:r>
              <w:rPr/>
              <w:tab/>
              <w:t>(713) 229</w:t>
              <w:noBreakHyphen/>
              <w:t>1585</w:t>
            </w:r>
          </w:p>
          <w:p>
            <w:pPr>
              <w:pStyle w:val="Normal"/>
              <w:rPr/>
            </w:pPr>
            <w:r>
              <w:rPr/>
              <w:tab/>
              <w:t>(713) 229-7885 (fax)</w:t>
            </w:r>
          </w:p>
          <w:p>
            <w:pPr>
              <w:pStyle w:val="Normal"/>
              <w:rPr/>
            </w:pPr>
            <w:r>
              <w:rPr/>
            </w:r>
          </w:p>
          <w:p>
            <w:pPr>
              <w:pStyle w:val="Normal"/>
              <w:rPr/>
            </w:pPr>
            <w:r>
              <w:rPr/>
              <w:t xml:space="preserve">ATTORNEYS FOR PLAINTIFFS </w:t>
            </w:r>
          </w:p>
          <w:p>
            <w:pPr>
              <w:pStyle w:val="Normal"/>
              <w:rPr/>
            </w:pPr>
            <w:r>
              <w:rPr/>
              <w:t>DYNEGY INC. AND DYNEGY</w:t>
            </w:r>
          </w:p>
          <w:p>
            <w:pPr>
              <w:pStyle w:val="Normal"/>
              <w:rPr/>
            </w:pPr>
            <w:r>
              <w:rPr/>
              <w:t>HOLDINGS INC.</w:t>
            </w:r>
          </w:p>
        </w:tc>
        <w:tc>
          <w:tcPr>
            <w:tcW w:w="5100" w:type="dxa"/>
            <w:tcBorders/>
          </w:tcPr>
          <w:p>
            <w:pPr>
              <w:pStyle w:val="Normal"/>
              <w:rPr/>
            </w:pPr>
            <w:r>
              <w:rPr/>
              <w:t>WEIL, GOTSHAL &amp; MANGES L.L.P.</w:t>
            </w:r>
          </w:p>
          <w:p>
            <w:pPr>
              <w:pStyle w:val="Normal"/>
              <w:rPr/>
            </w:pPr>
            <w:r>
              <w:rPr/>
            </w:r>
          </w:p>
          <w:p>
            <w:pPr>
              <w:pStyle w:val="Normal"/>
              <w:rPr/>
            </w:pPr>
            <w:r>
              <w:rPr/>
              <w:t>By:</w:t>
              <w:tab/>
              <w:t>_________________________</w:t>
              <w:tab/>
            </w:r>
          </w:p>
          <w:p>
            <w:pPr>
              <w:pStyle w:val="Normal"/>
              <w:rPr>
                <w:color w:val="000000"/>
              </w:rPr>
            </w:pPr>
            <w:r>
              <w:rPr>
                <w:color w:val="000000"/>
              </w:rPr>
              <w:tab/>
              <w:t>Scott D. Lassetter</w:t>
            </w:r>
          </w:p>
          <w:p>
            <w:pPr>
              <w:pStyle w:val="Normal"/>
              <w:rPr>
                <w:color w:val="000000"/>
              </w:rPr>
            </w:pPr>
            <w:r>
              <w:rPr>
                <w:color w:val="000000"/>
              </w:rPr>
              <w:tab/>
              <w:t>State Bar No. 11969800</w:t>
            </w:r>
          </w:p>
          <w:p>
            <w:pPr>
              <w:pStyle w:val="Normal"/>
              <w:rPr>
                <w:color w:val="000000"/>
              </w:rPr>
            </w:pPr>
            <w:r>
              <w:rPr>
                <w:color w:val="000000"/>
              </w:rPr>
              <w:tab/>
              <w:t>Gregory S. Coleman</w:t>
            </w:r>
          </w:p>
          <w:p>
            <w:pPr>
              <w:pStyle w:val="Normal"/>
              <w:rPr>
                <w:color w:val="000000"/>
              </w:rPr>
            </w:pPr>
            <w:r>
              <w:rPr>
                <w:color w:val="000000"/>
              </w:rPr>
              <w:tab/>
              <w:t>State Bar No. 00783855</w:t>
            </w:r>
          </w:p>
          <w:p>
            <w:pPr>
              <w:pStyle w:val="Style0"/>
              <w:keepNext w:val="true"/>
              <w:keepLines/>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ab/>
              <w:t>700 Louisiana, Suite 1600</w:t>
            </w:r>
          </w:p>
          <w:p>
            <w:pPr>
              <w:pStyle w:val="Style0"/>
              <w:keepNext w:val="true"/>
              <w:keepLines/>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ab/>
              <w:t>Houston, Texas 77002</w:t>
            </w:r>
          </w:p>
          <w:p>
            <w:pPr>
              <w:pStyle w:val="Style0"/>
              <w:keepNext w:val="true"/>
              <w:keepLines/>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ab/>
              <w:t>(713) 546-5000</w:t>
            </w:r>
          </w:p>
          <w:p>
            <w:pPr>
              <w:pStyle w:val="Style0"/>
              <w:keepNext w:val="true"/>
              <w:keepLines/>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ab/>
              <w:t>(713) 224-9511 (fax)</w:t>
            </w:r>
          </w:p>
          <w:p>
            <w:pPr>
              <w:pStyle w:val="Normal"/>
              <w:keepNext w:val="true"/>
              <w:keepLines/>
              <w:widowControl w:val="false"/>
              <w:rPr>
                <w:rFonts w:ascii="Times New Roman" w:hAnsi="Times New Roman" w:cs="Times New Roman"/>
                <w:color w:val="000000"/>
              </w:rPr>
            </w:pPr>
            <w:r>
              <w:rPr>
                <w:rFonts w:cs="Times New Roman"/>
                <w:color w:val="000000"/>
              </w:rPr>
            </w:r>
          </w:p>
          <w:p>
            <w:pPr>
              <w:pStyle w:val="Normal"/>
              <w:keepNext w:val="true"/>
              <w:keepLines/>
              <w:widowControl w:val="false"/>
              <w:rPr/>
            </w:pPr>
            <w:r>
              <w:rPr/>
              <w:t>ATTORNEYS FOR DEFENDANTS</w:t>
            </w:r>
          </w:p>
          <w:p>
            <w:pPr>
              <w:pStyle w:val="Normal"/>
              <w:keepNext w:val="true"/>
              <w:keepLines/>
              <w:widowControl w:val="false"/>
              <w:rPr/>
            </w:pPr>
            <w:r>
              <w:rPr/>
              <w:t>CGNN HOLDING COMPANY, INC.</w:t>
            </w:r>
          </w:p>
          <w:p>
            <w:pPr>
              <w:pStyle w:val="Normal"/>
              <w:keepNext w:val="true"/>
              <w:keepLines/>
              <w:widowControl w:val="false"/>
              <w:rPr/>
            </w:pPr>
            <w:r>
              <w:rPr/>
              <w:t>AND MCTJ HOLDING CO. LLC</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680" w:leader="none"/>
        <w:tab w:val="right" w:pos="936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NY1:\1077268\05\N38405!.DOC\43889.0003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NY1:\1077268\05\N38405!.DOC\43889.0003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1440" w:hanging="720"/>
      </w:pPr>
      <w:rPr>
        <w:u w:val="none"/>
        <w:b w:val="false"/>
        <w:color w:val="auto"/>
      </w:rPr>
    </w:lvl>
    <w:lvl w:ilvl="1">
      <w:start w:val="1"/>
      <w:pStyle w:val="Heading2"/>
      <w:numFmt w:val="decimal"/>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2160"/>
        </w:tabs>
        <w:ind w:start="2160" w:hanging="720"/>
      </w:pPr>
      <w:rPr>
        <w:color w:val="auto"/>
      </w:rPr>
    </w:lvl>
    <w:lvl w:ilvl="3">
      <w:start w:val="1"/>
      <w:pStyle w:val="Heading4"/>
      <w:numFmt w:val="decimal"/>
      <w:lvlText w:val="%4"/>
      <w:lvlJc w:val="start"/>
      <w:pPr>
        <w:tabs>
          <w:tab w:val="num" w:pos="1440"/>
        </w:tabs>
        <w:ind w:start="1440" w:hanging="36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LastListTemplate" w:val="A"/>
    <w:docVar w:name="MaxTemplate" w:val="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lineRule="auto" w:line="480"/>
      <w:outlineLvl w:val="0"/>
    </w:pPr>
    <w:rPr>
      <w:kern w:val="2"/>
    </w:rPr>
  </w:style>
  <w:style w:type="paragraph" w:styleId="Heading2">
    <w:name w:val="heading 2"/>
    <w:basedOn w:val="Normal"/>
    <w:next w:val="BodyText"/>
    <w:qFormat/>
    <w:pPr>
      <w:numPr>
        <w:ilvl w:val="1"/>
        <w:numId w:val="1"/>
      </w:numPr>
      <w:spacing w:lineRule="auto" w:line="48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style>
  <w:style w:type="paragraph" w:styleId="Heading9">
    <w:name w:val="heading 9"/>
    <w:basedOn w:val="Normal"/>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color w:val="auto"/>
    </w:rPr>
  </w:style>
  <w:style w:type="character" w:styleId="WW8Num12z0">
    <w:name w:val="WW8Num12z0"/>
    <w:qFormat/>
    <w:rPr>
      <w:color w:val="auto"/>
    </w:rPr>
  </w:style>
  <w:style w:type="character" w:styleId="WW8Num13z0">
    <w:name w:val="WW8Num13z0"/>
    <w:qFormat/>
    <w:rPr>
      <w:rFonts w:ascii="Times New Roman" w:hAnsi="Times New Roman" w:cs="Times New Roman"/>
      <w:i w:val="false"/>
      <w:color w:val="auto"/>
      <w:sz w:val="24"/>
    </w:rPr>
  </w:style>
  <w:style w:type="character" w:styleId="WW8Num13z1">
    <w:name w:val="WW8Num13z1"/>
    <w:qFormat/>
    <w:rPr>
      <w:rFonts w:ascii="Times New Roman" w:hAnsi="Times New Roman" w:cs="Times New Roman"/>
      <w:color w:val="auto"/>
      <w:sz w:val="24"/>
    </w:rPr>
  </w:style>
  <w:style w:type="character" w:styleId="WW8Num13z4">
    <w:name w:val="WW8Num13z4"/>
    <w:qFormat/>
    <w:rPr>
      <w:color w:val="auto"/>
    </w:rPr>
  </w:style>
  <w:style w:type="character" w:styleId="WW8Num14z0">
    <w:name w:val="WW8Num14z0"/>
    <w:qFormat/>
    <w:rPr>
      <w:b w:val="false"/>
      <w:color w:val="auto"/>
      <w:u w:val="none"/>
    </w:rPr>
  </w:style>
  <w:style w:type="character" w:styleId="WW8Num14z1">
    <w:name w:val="WW8Num14z1"/>
    <w:qFormat/>
    <w:rPr>
      <w:rFonts w:ascii="Times New Roman" w:hAnsi="Times New Roman" w:cs="Times New Roman"/>
      <w:b w:val="false"/>
      <w:i w:val="false"/>
      <w:color w:val="auto"/>
      <w:sz w:val="24"/>
      <w:u w:val="none"/>
    </w:rPr>
  </w:style>
  <w:style w:type="character" w:styleId="WW8Num14z2">
    <w:name w:val="WW8Num14z2"/>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FootnoteCharacters">
    <w:name w:val="Footnote Characters"/>
    <w:basedOn w:val="DefaultParagraphFont"/>
    <w:qFormat/>
    <w:rPr>
      <w:vertAlign w:val="superscript"/>
    </w:rPr>
  </w:style>
  <w:style w:type="character" w:styleId="TrailerWGM">
    <w:name w:val="Trailer WGM"/>
    <w:basedOn w:val="DefaultParagraphFont"/>
    <w:qFormat/>
    <w:rPr>
      <w:caps/>
      <w:sz w:val="14"/>
    </w:rPr>
  </w:style>
  <w:style w:type="paragraph" w:styleId="Heading">
    <w:name w:val="Heading"/>
    <w:basedOn w:val="Normal"/>
    <w:next w:val="BodyText"/>
    <w:qFormat/>
    <w:pPr>
      <w:keepNext w:val="true"/>
      <w:spacing w:before="0" w:after="240"/>
      <w:jc w:val="center"/>
      <w:outlineLvl w:val="0"/>
    </w:pPr>
    <w:rPr>
      <w:b/>
      <w:kern w:val="2"/>
    </w:rPr>
  </w:style>
  <w:style w:type="paragraph" w:styleId="BodyText">
    <w:name w:val="Body Text"/>
    <w:basedOn w:val="Normal"/>
    <w:pPr>
      <w:tabs>
        <w:tab w:val="left" w:pos="720" w:leader="none"/>
      </w:tabs>
      <w:spacing w:before="0" w:after="240"/>
    </w:pPr>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 w:val="center" w:pos="4752" w:leader="none"/>
        <w:tab w:val="left" w:pos="5490" w:leader="none"/>
      </w:tabs>
      <w:jc w:val="start"/>
    </w:pPr>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tabs>
        <w:tab w:val="clear" w:pos="720"/>
        <w:tab w:val="left" w:pos="5760" w:leader="none"/>
      </w:tabs>
      <w:ind w:hanging="0" w:start="5040" w:end="0"/>
      <w:jc w:val="start"/>
    </w:pPr>
    <w:rPr/>
  </w:style>
  <w:style w:type="paragraph" w:styleId="TOC3">
    <w:name w:val="toc 3"/>
    <w:basedOn w:val="Normal"/>
    <w:next w:val="Normal"/>
    <w:pPr>
      <w:spacing w:before="0" w:after="240"/>
      <w:ind w:hanging="720" w:start="2160" w:end="0"/>
    </w:pPr>
    <w:rPr/>
  </w:style>
  <w:style w:type="paragraph" w:styleId="BodyTextFirstIndent">
    <w:name w:val="Body Text First Indent"/>
    <w:basedOn w:val="BodyText"/>
    <w:qFormat/>
    <w:pPr>
      <w:ind w:firstLine="1440" w:start="0" w:end="0"/>
    </w:pPr>
    <w:rPr/>
  </w:style>
  <w:style w:type="paragraph" w:styleId="BlockText">
    <w:name w:val="Block Text"/>
    <w:basedOn w:val="Normal"/>
    <w:next w:val="Normal"/>
    <w:qFormat/>
    <w:pPr>
      <w:spacing w:before="0" w:after="240"/>
      <w:ind w:hanging="0" w:start="1440" w:end="1440"/>
    </w:pPr>
    <w:rPr>
      <w:sz w:val="26"/>
    </w:rPr>
  </w:style>
  <w:style w:type="paragraph" w:styleId="BodyText3">
    <w:name w:val="Body Text 3"/>
    <w:basedOn w:val="Normal"/>
    <w:qFormat/>
    <w:pPr>
      <w:spacing w:before="0" w:after="24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lineRule="auto" w:line="480" w:before="0" w:after="0"/>
      <w:ind w:firstLine="1440" w:start="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EndnoteText">
    <w:name w:val="endnote text"/>
    <w:basedOn w:val="Normal"/>
    <w:pPr/>
    <w:rPr>
      <w:sz w:val="20"/>
    </w:rPr>
  </w:style>
  <w:style w:type="paragraph" w:styleId="FootnoteText">
    <w:name w:val="footnote text"/>
    <w:basedOn w:val="Normal"/>
    <w:pPr>
      <w:spacing w:before="0" w:after="240"/>
      <w:ind w:firstLine="720" w:start="0" w:end="0"/>
    </w:pPr>
    <w:rPr>
      <w:sz w:val="20"/>
    </w:rPr>
  </w:style>
  <w:style w:type="paragraph" w:styleId="Table">
    <w:name w:val="Table"/>
    <w:basedOn w:val="Normal"/>
    <w:next w:val="Normal"/>
    <w:qFormat/>
    <w:pPr>
      <w:spacing w:before="0" w:after="240"/>
      <w:jc w:val="start"/>
    </w:pPr>
    <w:rPr/>
  </w:style>
  <w:style w:type="paragraph" w:styleId="TOC1">
    <w:name w:val="toc 1"/>
    <w:basedOn w:val="Normal"/>
    <w:next w:val="Normal"/>
    <w:pPr>
      <w:tabs>
        <w:tab w:val="clear" w:pos="720"/>
        <w:tab w:val="right" w:pos="9350" w:leader="dot"/>
      </w:tabs>
      <w:spacing w:before="0" w:after="240"/>
    </w:pPr>
    <w:rPr>
      <w:smallCaps/>
      <w:lang w:val="en-CA"/>
    </w:rPr>
  </w:style>
  <w:style w:type="paragraph" w:styleId="TOC2">
    <w:name w:val="toc 2"/>
    <w:basedOn w:val="Normal"/>
    <w:next w:val="Normal"/>
    <w:pPr>
      <w:tabs>
        <w:tab w:val="left" w:pos="720" w:leader="none"/>
        <w:tab w:val="right" w:pos="9350" w:leader="dot"/>
      </w:tabs>
      <w:spacing w:before="0" w:after="240"/>
      <w:ind w:hanging="720" w:start="1440" w:end="0"/>
    </w:pPr>
    <w:rPr>
      <w:lang w:val="en-CA"/>
    </w:rPr>
  </w:style>
  <w:style w:type="paragraph" w:styleId="TOC4">
    <w:name w:val="toc 4"/>
    <w:basedOn w:val="Normal"/>
    <w:next w:val="Normal"/>
    <w:pPr>
      <w:spacing w:before="0" w:after="240"/>
      <w:ind w:hanging="720" w:start="288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VEBodyTextQuote5">
    <w:name w:val="VE Body Text Quote .5"/>
    <w:basedOn w:val="Normal"/>
    <w:qFormat/>
    <w:pPr>
      <w:spacing w:before="0" w:after="240"/>
      <w:ind w:hanging="0" w:start="720" w:end="72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2001-12-24T16:52:00Z</dcterms:created>
  <dc:creator> </dc:creator>
  <dc:description>HOU02:840081.2</dc:description>
  <cp:keywords>DocsOpen Name: #1077268 v5 - Agreed judgment</cp:keywords>
  <dc:language>en-CA</dc:language>
  <cp:lastModifiedBy>STOSSEL</cp:lastModifiedBy>
  <cp:lastPrinted>2001-12-24T19:28:00Z</cp:lastPrinted>
  <dcterms:modified xsi:type="dcterms:W3CDTF">2001-12-24T22:01:00Z</dcterms:modified>
  <cp:revision>16</cp:revision>
  <dc:subject>DocsOpen Loc:G:\DATA\NY1\MURAGE\PLD\N38405!.DOC</dc:subject>
  <dc:title>Local: C:\WINDOWS\DESKTOP\agreed judgment.DOC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NY1:\1077268\05\N38405!.DOC\43889.0003</vt:lpwstr>
  </property>
</Properties>
</file>