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tabs>
          <w:tab w:val="clear" w:pos="720"/>
          <w:tab w:val="right" w:pos="5040" w:leader="none"/>
        </w:tabs>
        <w:bidi w:val="0"/>
        <w:rPr>
          <w:rFonts w:ascii="Times New Roman" w:hAnsi="Times New Roman"/>
        </w:rPr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868"/>
        <w:gridCol w:w="3707"/>
      </w:tblGrid>
      <w:tr>
        <w:trPr/>
        <w:tc>
          <w:tcPr>
            <w:tcW w:w="5868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before="0" w:after="0"/>
              <w:jc w:val="start"/>
              <w:rPr>
                <w:rFonts w:ascii="Times New Roman" w:hAnsi="Times New Roman"/>
              </w:rPr>
            </w:pPr>
            <w:r>
              <w:rPr/>
              <w:t>UNITED STATES BANKRUPTCY COURT</w:t>
              <w:br/>
              <w:t>SOUTHERN DISTRICT OF NEW YORK</w:t>
            </w:r>
          </w:p>
          <w:p>
            <w:pPr>
              <w:pStyle w:val="BodyText"/>
              <w:tabs>
                <w:tab w:val="clear" w:pos="720"/>
                <w:tab w:val="right" w:pos="5580" w:leader="none"/>
              </w:tabs>
              <w:bidi w:val="0"/>
              <w:spacing w:before="0" w:after="0"/>
              <w:rPr/>
            </w:pPr>
            <w:r>
              <w:rPr>
                <w:u w:val="single"/>
              </w:rPr>
              <w:tab/>
            </w:r>
          </w:p>
        </w:tc>
        <w:tc>
          <w:tcPr>
            <w:tcW w:w="3707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before="0" w:after="0"/>
              <w:jc w:val="start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5868" w:type="dxa"/>
            <w:tcBorders/>
          </w:tcPr>
          <w:p>
            <w:pPr>
              <w:pStyle w:val="BodyText"/>
              <w:tabs>
                <w:tab w:val="clear" w:pos="720"/>
                <w:tab w:val="right" w:pos="5580" w:leader="none"/>
              </w:tabs>
              <w:bidi w:val="0"/>
              <w:spacing w:before="0" w:after="0"/>
              <w:rPr>
                <w:rFonts w:ascii="Times New Roman" w:hAnsi="Times New Roman"/>
              </w:rPr>
            </w:pPr>
            <w:r>
              <w:rPr/>
              <w:tab/>
              <w:t>:</w:t>
            </w:r>
          </w:p>
          <w:p>
            <w:pPr>
              <w:pStyle w:val="BodyText"/>
              <w:tabs>
                <w:tab w:val="clear" w:pos="720"/>
                <w:tab w:val="right" w:pos="5580" w:leader="none"/>
              </w:tabs>
              <w:bidi w:val="0"/>
              <w:spacing w:before="0" w:after="0"/>
              <w:rPr>
                <w:rFonts w:ascii="Times New Roman" w:hAnsi="Times New Roman"/>
                <w:b/>
                <w:u w:val="double"/>
              </w:rPr>
            </w:pPr>
            <w:r>
              <w:rPr>
                <w:strike/>
              </w:rPr>
              <w:t>:    In re : :</w:t>
            </w:r>
            <w:r>
              <w:rPr/>
              <w:t xml:space="preserve"> </w:t>
            </w:r>
            <w:r>
              <w:rPr>
                <w:b/>
                <w:u w:val="double"/>
              </w:rPr>
              <w:t>IN RE</w:t>
            </w:r>
            <w:r>
              <w:rPr/>
              <w:tab/>
              <w:t>:</w:t>
              <w:br/>
              <w:tab/>
              <w:t>:</w:t>
              <w:br/>
              <w:t>ENRON CORP., ET AL.,</w:t>
              <w:tab/>
              <w:t>:</w:t>
              <w:tab/>
              <w:t>:</w:t>
            </w:r>
          </w:p>
          <w:p>
            <w:pPr>
              <w:pStyle w:val="BodyText"/>
              <w:tabs>
                <w:tab w:val="clear" w:pos="720"/>
                <w:tab w:val="left" w:pos="3600" w:leader="none"/>
                <w:tab w:val="right" w:pos="5580" w:leader="none"/>
              </w:tabs>
              <w:bidi w:val="0"/>
              <w:spacing w:before="0" w:after="0"/>
              <w:rPr>
                <w:rFonts w:ascii="Times New Roman" w:hAnsi="Times New Roman"/>
                <w:b/>
                <w:u w:val="double"/>
              </w:rPr>
            </w:pPr>
            <w:r>
              <w:rPr/>
              <w:tab/>
              <w:t>Debtors.</w:t>
              <w:tab/>
              <w:t>:</w:t>
            </w:r>
          </w:p>
          <w:p>
            <w:pPr>
              <w:pStyle w:val="BodyText"/>
              <w:tabs>
                <w:tab w:val="clear" w:pos="720"/>
                <w:tab w:val="right" w:pos="5580" w:leader="none"/>
              </w:tabs>
              <w:bidi w:val="0"/>
              <w:spacing w:before="0" w:after="0"/>
              <w:rPr/>
            </w:pPr>
            <w:r>
              <w:rPr>
                <w:u w:val="single"/>
              </w:rPr>
              <w:tab/>
            </w:r>
            <w:r>
              <w:rPr/>
              <w:t>:</w:t>
            </w:r>
          </w:p>
        </w:tc>
        <w:tc>
          <w:tcPr>
            <w:tcW w:w="3707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before="0" w:after="0"/>
              <w:jc w:val="start"/>
              <w:rPr>
                <w:rFonts w:ascii="Times New Roman" w:hAnsi="Times New Roman"/>
                <w:b/>
                <w:u w:val="double"/>
              </w:rPr>
            </w:pPr>
            <w:r>
              <w:rPr>
                <w:b/>
                <w:u w:val="double"/>
              </w:rPr>
            </w:r>
          </w:p>
          <w:p>
            <w:pPr>
              <w:pStyle w:val="BodyText"/>
              <w:tabs>
                <w:tab w:val="clear" w:pos="720"/>
              </w:tabs>
              <w:bidi w:val="0"/>
              <w:spacing w:before="0" w:after="0"/>
              <w:jc w:val="start"/>
              <w:rPr/>
            </w:pPr>
            <w:r>
              <w:rPr/>
              <w:t>Case No. 01-16034 (AJG)</w:t>
              <w:br/>
              <w:t>(Chapter 11)</w:t>
              <w:br/>
              <w:br/>
              <w:t>Jointly Administered</w:t>
            </w:r>
          </w:p>
        </w:tc>
      </w:tr>
      <w:tr>
        <w:trPr/>
        <w:tc>
          <w:tcPr>
            <w:tcW w:w="5868" w:type="dxa"/>
            <w:tcBorders/>
          </w:tcPr>
          <w:p>
            <w:pPr>
              <w:pStyle w:val="BodyText"/>
              <w:tabs>
                <w:tab w:val="clear" w:pos="720"/>
                <w:tab w:val="left" w:pos="4230" w:leader="none"/>
                <w:tab w:val="right" w:pos="5580" w:leader="none"/>
              </w:tabs>
              <w:bidi w:val="0"/>
              <w:spacing w:before="0" w:after="0"/>
              <w:jc w:val="start"/>
              <w:rPr>
                <w:rFonts w:ascii="Times New Roman" w:hAnsi="Times New Roman"/>
                <w:b/>
                <w:u w:val="double"/>
              </w:rPr>
            </w:pPr>
            <w:r>
              <w:rPr/>
              <w:tab/>
              <w:tab/>
              <w:t>:</w:t>
              <w:br/>
              <w:t>ENRON CORP., ENRON TRANSPORTATION</w:t>
              <w:tab/>
              <w:t>:</w:t>
              <w:br/>
              <w:t>SERVICES CO., CGNN HOLDING COMPANY,</w:t>
              <w:tab/>
              <w:t>:</w:t>
              <w:br/>
              <w:t>INC., AND MCTJ HOLDING CO. LLC,</w:t>
              <w:tab/>
              <w:tab/>
              <w:t>:</w:t>
              <w:br/>
              <w:tab/>
              <w:tab/>
              <w:t>:</w:t>
            </w:r>
          </w:p>
          <w:p>
            <w:pPr>
              <w:pStyle w:val="BodyText"/>
              <w:tabs>
                <w:tab w:val="clear" w:pos="720"/>
                <w:tab w:val="left" w:pos="3600" w:leader="none"/>
                <w:tab w:val="left" w:pos="4230" w:leader="none"/>
                <w:tab w:val="right" w:pos="5580" w:leader="none"/>
              </w:tabs>
              <w:bidi w:val="0"/>
              <w:spacing w:before="0" w:after="0"/>
              <w:jc w:val="start"/>
              <w:rPr>
                <w:rFonts w:ascii="Times New Roman" w:hAnsi="Times New Roman"/>
              </w:rPr>
            </w:pPr>
            <w:r>
              <w:rPr/>
              <w:tab/>
              <w:t>Plaintiffs,</w:t>
              <w:tab/>
              <w:t>:</w:t>
            </w:r>
          </w:p>
          <w:p>
            <w:pPr>
              <w:pStyle w:val="BodyText"/>
              <w:tabs>
                <w:tab w:val="clear" w:pos="720"/>
                <w:tab w:val="left" w:pos="2520" w:leader="none"/>
                <w:tab w:val="right" w:pos="5580" w:leader="none"/>
              </w:tabs>
              <w:bidi w:val="0"/>
              <w:spacing w:before="0" w:after="0"/>
              <w:rPr>
                <w:rFonts w:ascii="Times New Roman" w:hAnsi="Times New Roman"/>
              </w:rPr>
            </w:pPr>
            <w:r>
              <w:rPr/>
              <w:tab/>
              <w:tab/>
              <w:t>:</w:t>
            </w:r>
          </w:p>
          <w:p>
            <w:pPr>
              <w:pStyle w:val="BodyText"/>
              <w:tabs>
                <w:tab w:val="clear" w:pos="720"/>
                <w:tab w:val="left" w:pos="2520" w:leader="none"/>
                <w:tab w:val="right" w:pos="5580" w:leader="none"/>
              </w:tabs>
              <w:bidi w:val="0"/>
              <w:spacing w:before="0" w:after="0"/>
              <w:rPr/>
            </w:pPr>
            <w:r>
              <w:rPr/>
              <w:tab/>
              <w:t>- against -</w:t>
              <w:tab/>
              <w:t>:</w:t>
            </w:r>
            <w:r>
              <w:rPr>
                <w:strike/>
              </w:rPr>
              <w:t>:</w:t>
            </w:r>
            <w:r>
              <w:rPr/>
              <w:t xml:space="preserve"> </w:t>
            </w:r>
          </w:p>
        </w:tc>
        <w:tc>
          <w:tcPr>
            <w:tcW w:w="3707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before="0" w:after="0"/>
              <w:jc w:val="start"/>
              <w:rPr>
                <w:rFonts w:ascii="Times New Roman" w:hAnsi="Times New Roman"/>
              </w:rPr>
            </w:pPr>
            <w:r>
              <w:rPr/>
              <w:br/>
              <w:br/>
              <w:t>Adversary Proceeding</w:t>
              <w:br/>
              <w:t xml:space="preserve">No. 01-03626 </w:t>
            </w:r>
            <w:r>
              <w:rPr>
                <w:b/>
                <w:u w:val="double"/>
              </w:rPr>
              <w:t>(AJG)</w:t>
            </w:r>
          </w:p>
          <w:p>
            <w:pPr>
              <w:pStyle w:val="BodyText"/>
              <w:tabs>
                <w:tab w:val="clear" w:pos="720"/>
              </w:tabs>
              <w:bidi w:val="0"/>
              <w:spacing w:before="0" w:after="0"/>
              <w:jc w:val="start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BodyText"/>
              <w:tabs>
                <w:tab w:val="clear" w:pos="720"/>
              </w:tabs>
              <w:bidi w:val="0"/>
              <w:spacing w:before="0" w:after="0"/>
              <w:jc w:val="start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BodyText"/>
              <w:tabs>
                <w:tab w:val="clear" w:pos="720"/>
              </w:tabs>
              <w:bidi w:val="0"/>
              <w:spacing w:before="0" w:after="0"/>
              <w:jc w:val="start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BodyText"/>
              <w:tabs>
                <w:tab w:val="clear" w:pos="720"/>
              </w:tabs>
              <w:bidi w:val="0"/>
              <w:spacing w:before="0" w:after="0"/>
              <w:jc w:val="start"/>
              <w:rPr/>
            </w:pPr>
            <w:r>
              <w:rPr>
                <w:b/>
                <w:u w:val="single"/>
              </w:rPr>
              <w:t>STIPULATION AND ORDER</w:t>
            </w:r>
          </w:p>
        </w:tc>
      </w:tr>
      <w:tr>
        <w:trPr/>
        <w:tc>
          <w:tcPr>
            <w:tcW w:w="5868" w:type="dxa"/>
            <w:tcBorders/>
          </w:tcPr>
          <w:p>
            <w:pPr>
              <w:pStyle w:val="BodyText"/>
              <w:tabs>
                <w:tab w:val="clear" w:pos="720"/>
                <w:tab w:val="right" w:pos="5580" w:leader="none"/>
              </w:tabs>
              <w:bidi w:val="0"/>
              <w:spacing w:before="0" w:after="0"/>
              <w:rPr>
                <w:rFonts w:ascii="Times New Roman" w:hAnsi="Times New Roman"/>
              </w:rPr>
            </w:pPr>
            <w:r>
              <w:rPr/>
              <w:tab/>
            </w:r>
            <w:r>
              <w:rPr>
                <w:strike/>
              </w:rPr>
              <w:t>:</w:t>
            </w:r>
            <w:r>
              <w:rPr/>
              <w:t>:</w:t>
              <w:br/>
              <w:t>DYNEGY INC. and DYNEGY HOLDINGS</w:t>
            </w:r>
            <w:r>
              <w:rPr>
                <w:b/>
                <w:u w:val="double"/>
              </w:rPr>
              <w:t>,</w:t>
            </w:r>
            <w:r>
              <w:rPr/>
              <w:t xml:space="preserve"> INC.,</w:t>
              <w:tab/>
              <w:t>:</w:t>
              <w:br/>
              <w:tab/>
              <w:t>:</w:t>
            </w:r>
          </w:p>
          <w:p>
            <w:pPr>
              <w:pStyle w:val="BodyText"/>
              <w:tabs>
                <w:tab w:val="clear" w:pos="720"/>
                <w:tab w:val="left" w:pos="3600" w:leader="none"/>
                <w:tab w:val="right" w:pos="5580" w:leader="none"/>
              </w:tabs>
              <w:bidi w:val="0"/>
              <w:spacing w:before="0" w:after="0"/>
              <w:rPr>
                <w:rFonts w:ascii="Times New Roman" w:hAnsi="Times New Roman"/>
                <w:b/>
                <w:u w:val="double"/>
              </w:rPr>
            </w:pPr>
            <w:r>
              <w:rPr/>
              <w:tab/>
            </w:r>
            <w:r>
              <w:rPr>
                <w:strike/>
              </w:rPr>
              <w:t>:</w:t>
            </w:r>
            <w:r>
              <w:rPr/>
              <w:t xml:space="preserve"> Defendants.</w:t>
              <w:tab/>
              <w:t>:</w:t>
            </w:r>
          </w:p>
          <w:p>
            <w:pPr>
              <w:pStyle w:val="BodyText"/>
              <w:tabs>
                <w:tab w:val="clear" w:pos="720"/>
                <w:tab w:val="right" w:pos="5580" w:leader="none"/>
              </w:tabs>
              <w:bidi w:val="0"/>
              <w:spacing w:before="0" w:after="0"/>
              <w:rPr/>
            </w:pPr>
            <w:r>
              <w:rPr>
                <w:u w:val="single"/>
              </w:rPr>
              <w:tab/>
              <w:t>:</w:t>
            </w:r>
          </w:p>
        </w:tc>
        <w:tc>
          <w:tcPr>
            <w:tcW w:w="3707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before="0" w:after="0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BodyText"/>
              <w:tabs>
                <w:tab w:val="clear" w:pos="720"/>
              </w:tabs>
              <w:bidi w:val="0"/>
              <w:spacing w:before="0" w:after="0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BodyText"/>
              <w:tabs>
                <w:tab w:val="clear" w:pos="720"/>
              </w:tabs>
              <w:bidi w:val="0"/>
              <w:spacing w:before="0" w:after="0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BodyText"/>
              <w:tabs>
                <w:tab w:val="clear" w:pos="720"/>
              </w:tabs>
              <w:bidi w:val="0"/>
              <w:spacing w:before="0" w:after="0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BodyText"/>
              <w:tabs>
                <w:tab w:val="clear" w:pos="720"/>
              </w:tabs>
              <w:bidi w:val="0"/>
              <w:spacing w:before="0" w:after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5868" w:type="dxa"/>
            <w:tcBorders/>
          </w:tcPr>
          <w:p>
            <w:pPr>
              <w:pStyle w:val="BodyText"/>
              <w:tabs>
                <w:tab w:val="clear" w:pos="720"/>
                <w:tab w:val="left" w:pos="4230" w:leader="none"/>
                <w:tab w:val="right" w:pos="5580" w:leader="none"/>
              </w:tabs>
              <w:bidi w:val="0"/>
              <w:spacing w:before="0" w:after="0"/>
              <w:jc w:val="star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707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before="0" w:after="0"/>
              <w:rPr>
                <w:rFonts w:ascii="Times New Roman" w:hAnsi="Times New Roman"/>
              </w:rPr>
            </w:pPr>
            <w:r>
              <w:rPr/>
            </w:r>
          </w:p>
        </w:tc>
      </w:tr>
    </w:tbl>
    <w:p>
      <w:pPr>
        <w:pStyle w:val="BodyText"/>
        <w:bidi w:val="0"/>
        <w:rPr>
          <w:rFonts w:ascii="Times New Roman" w:hAnsi="Times New Roman"/>
        </w:rPr>
      </w:pPr>
      <w:r>
        <w:rPr/>
        <w:t>IT IS HEREBY STIPULATED AND AGREED, BY AND BETWEEN THE UNDERSIGNED, AS FOLLOWS:</w:t>
      </w:r>
    </w:p>
    <w:p>
      <w:pPr>
        <w:pStyle w:val="ListNumber"/>
        <w:numPr>
          <w:ilvl w:val="0"/>
          <w:numId w:val="1"/>
        </w:numPr>
        <w:bidi w:val="0"/>
        <w:spacing w:lineRule="auto" w:line="480" w:before="0" w:after="120"/>
        <w:ind w:firstLine="360" w:start="0"/>
        <w:rPr>
          <w:rFonts w:ascii="Times New Roman" w:hAnsi="Times New Roman"/>
        </w:rPr>
      </w:pPr>
      <w:r>
        <w:rPr>
          <w:strike/>
        </w:rPr>
        <w:t>Enron</w:t>
      </w:r>
      <w:r>
        <w:rPr/>
        <w:t xml:space="preserve"> </w:t>
      </w:r>
      <w:r>
        <w:rPr>
          <w:b/>
          <w:u w:val="double"/>
        </w:rPr>
        <w:t>Plaintiffs</w:t>
      </w:r>
      <w:r>
        <w:rPr/>
        <w:t xml:space="preserve"> shall, on or before 3:00 P.M. New York Time, December </w:t>
      </w:r>
      <w:r>
        <w:rPr>
          <w:strike/>
        </w:rPr>
        <w:t>26</w:t>
      </w:r>
      <w:r>
        <w:rPr/>
        <w:t xml:space="preserve"> </w:t>
      </w:r>
      <w:r>
        <w:rPr>
          <w:b/>
          <w:u w:val="double"/>
        </w:rPr>
        <w:t>31</w:t>
      </w:r>
      <w:r>
        <w:rPr/>
        <w:t>, 2001, file an Amended Complaint which</w:t>
      </w:r>
      <w:r>
        <w:rPr>
          <w:b/>
          <w:u w:val="double"/>
        </w:rPr>
        <w:t>,</w:t>
      </w:r>
      <w:r>
        <w:rPr/>
        <w:t xml:space="preserve"> among other changes</w:t>
      </w:r>
      <w:r>
        <w:rPr>
          <w:b/>
          <w:u w:val="double"/>
        </w:rPr>
        <w:t>,</w:t>
      </w:r>
      <w:r>
        <w:rPr/>
        <w:t xml:space="preserve"> removes CGNN Holding Company, Inc. and MCTJ Holding Co. LLC as    parties and omits any cause of action or prayer by any party </w:t>
      </w:r>
      <w:r>
        <w:rPr>
          <w:b/>
          <w:u w:val="double"/>
        </w:rPr>
        <w:t>against any party</w:t>
      </w:r>
      <w:r>
        <w:rPr/>
        <w:t xml:space="preserve"> for declaratory or injunctive relief arising out of Dynegy Holdings Inc.’s exercise of the option provided for in the Option Agreement</w:t>
      </w:r>
      <w:r>
        <w:rPr>
          <w:b/>
          <w:u w:val="double"/>
        </w:rPr>
        <w:t>,</w:t>
      </w:r>
      <w:r>
        <w:rPr/>
        <w:t xml:space="preserve"> dated as of November 9, 2001, as amended by Amendment to Option Agreement</w:t>
      </w:r>
      <w:r>
        <w:rPr>
          <w:b/>
          <w:u w:val="double"/>
        </w:rPr>
        <w:t>,</w:t>
      </w:r>
      <w:r>
        <w:rPr/>
        <w:t xml:space="preserve"> dated as of November 19, 2001</w:t>
      </w:r>
      <w:r>
        <w:rPr>
          <w:strike/>
        </w:rPr>
        <w:t>, and</w:t>
      </w:r>
      <w:r>
        <w:rPr>
          <w:b/>
          <w:u w:val="double"/>
        </w:rPr>
        <w:t>. Plaintiffs’ Amended Complaint may include a claim for damages based on the theory that the exercise of the option was improper and/or in breach of the Option Agreement. Plaintiffs</w:t>
      </w:r>
      <w:r>
        <w:rPr/>
        <w:t xml:space="preserve"> shall deliver an electronic copy of the Amended Complaint to counsel for Dynegy and Dynegy Holdings at the following e-mail addresses:</w:t>
      </w:r>
    </w:p>
    <w:p>
      <w:pPr>
        <w:pStyle w:val="BodyTextFirstIndent"/>
        <w:bidi w:val="0"/>
        <w:ind w:hanging="0" w:start="1440"/>
        <w:rPr>
          <w:rFonts w:ascii="Times New Roman" w:hAnsi="Times New Roman"/>
        </w:rPr>
      </w:pPr>
      <w:r>
        <w:rPr/>
        <w:t>sshimshak@paulweiss.com</w:t>
        <w:br/>
        <w:t>srosenfeld@paulweiss.com</w:t>
      </w:r>
    </w:p>
    <w:p>
      <w:pPr>
        <w:pStyle w:val="ListNumber"/>
        <w:numPr>
          <w:ilvl w:val="0"/>
          <w:numId w:val="1"/>
        </w:numPr>
        <w:bidi w:val="0"/>
        <w:spacing w:lineRule="auto" w:line="480" w:before="0" w:after="120"/>
        <w:ind w:firstLine="360" w:start="0"/>
        <w:rPr>
          <w:rFonts w:ascii="Times New Roman" w:hAnsi="Times New Roman"/>
        </w:rPr>
      </w:pPr>
      <w:r>
        <w:rPr/>
        <w:t xml:space="preserve">On or before </w:t>
      </w:r>
      <w:r>
        <w:rPr>
          <w:strike/>
        </w:rPr>
        <w:t>12</w:t>
      </w:r>
      <w:r>
        <w:rPr/>
        <w:t xml:space="preserve"> </w:t>
      </w:r>
      <w:r>
        <w:rPr>
          <w:b/>
          <w:u w:val="double"/>
        </w:rPr>
        <w:t>5</w:t>
      </w:r>
      <w:r>
        <w:rPr/>
        <w:t xml:space="preserve">:00 P.M., New York Time, December </w:t>
      </w:r>
      <w:r>
        <w:rPr>
          <w:strike/>
        </w:rPr>
        <w:t>27,</w:t>
      </w:r>
      <w:r>
        <w:rPr/>
        <w:t xml:space="preserve"> </w:t>
      </w:r>
      <w:r>
        <w:rPr>
          <w:b/>
          <w:u w:val="double"/>
        </w:rPr>
        <w:t>31,</w:t>
      </w:r>
      <w:r>
        <w:rPr/>
        <w:t xml:space="preserve"> 2001, </w:t>
      </w:r>
      <w:r>
        <w:rPr>
          <w:strike/>
        </w:rPr>
        <w:t>Enron</w:t>
      </w:r>
      <w:r>
        <w:rPr/>
        <w:t xml:space="preserve"> </w:t>
      </w:r>
      <w:r>
        <w:rPr>
          <w:b/>
          <w:u w:val="double"/>
        </w:rPr>
        <w:t>plaintiffs</w:t>
      </w:r>
      <w:r>
        <w:rPr/>
        <w:t xml:space="preserve"> shall serve a hard copy of the Amended Complaint upon counsel for Dynegy and Dynegy Holdings at the following address:</w:t>
      </w:r>
    </w:p>
    <w:p>
      <w:pPr>
        <w:pStyle w:val="Signature"/>
        <w:bidi w:val="0"/>
        <w:ind w:hanging="0" w:start="1440"/>
        <w:jc w:val="start"/>
        <w:rPr>
          <w:rFonts w:ascii="Times New Roman" w:hAnsi="Times New Roman"/>
        </w:rPr>
      </w:pPr>
      <w:r>
        <w:rPr/>
        <w:t>Stephen S. Shimshak</w:t>
        <w:br/>
        <w:t>Steven B. Rosenfeld</w:t>
        <w:br/>
        <w:t>Paul, Weiss, Rifkind, Wharton &amp; Garrison</w:t>
        <w:br/>
        <w:t>1285 Avenue of the Americas</w:t>
        <w:br/>
        <w:t>New York, NY 10019</w:t>
      </w:r>
    </w:p>
    <w:p>
      <w:pPr>
        <w:pStyle w:val="Signature"/>
        <w:bidi w:val="0"/>
        <w:ind w:hanging="0" w:start="1440"/>
        <w:jc w:val="start"/>
        <w:rPr>
          <w:rFonts w:ascii="Times New Roman" w:hAnsi="Times New Roman"/>
        </w:rPr>
      </w:pPr>
      <w:r>
        <w:rPr/>
      </w:r>
    </w:p>
    <w:p>
      <w:pPr>
        <w:pStyle w:val="ListNumber"/>
        <w:numPr>
          <w:ilvl w:val="0"/>
          <w:numId w:val="1"/>
        </w:numPr>
        <w:bidi w:val="0"/>
        <w:spacing w:lineRule="auto" w:line="480"/>
        <w:ind w:firstLine="360" w:start="0"/>
        <w:rPr>
          <w:rFonts w:ascii="Times New Roman" w:hAnsi="Times New Roman"/>
        </w:rPr>
      </w:pPr>
      <w:r>
        <w:rPr/>
        <w:t xml:space="preserve">Upon </w:t>
      </w:r>
      <w:r>
        <w:rPr>
          <w:strike/>
        </w:rPr>
        <w:t>Enron’s</w:t>
      </w:r>
      <w:r>
        <w:rPr/>
        <w:t xml:space="preserve"> </w:t>
      </w:r>
      <w:r>
        <w:rPr>
          <w:b/>
          <w:u w:val="double"/>
        </w:rPr>
        <w:t>plaintiffs’</w:t>
      </w:r>
      <w:r>
        <w:rPr/>
        <w:t xml:space="preserve"> performance of the foregoing, the defendants shall withdraw without prejudice their Motion to Abstain or, in the Alternative, Transfer Venue.</w:t>
      </w:r>
    </w:p>
    <w:p>
      <w:pPr>
        <w:pStyle w:val="ListNumber"/>
        <w:numPr>
          <w:ilvl w:val="0"/>
          <w:numId w:val="1"/>
        </w:numPr>
        <w:bidi w:val="0"/>
        <w:spacing w:lineRule="auto" w:line="480"/>
        <w:ind w:firstLine="360" w:start="0"/>
        <w:rPr>
          <w:rFonts w:ascii="Times New Roman" w:hAnsi="Times New Roman"/>
          <w:b/>
          <w:u w:val="double"/>
        </w:rPr>
      </w:pPr>
      <w:r>
        <w:rPr/>
        <w:t xml:space="preserve">The time for the defendants to move or answer with respect to the Amended Complaint is extended to and including January </w:t>
      </w:r>
      <w:r>
        <w:rPr>
          <w:strike/>
        </w:rPr>
        <w:t>28, 2002.</w:t>
      </w:r>
      <w:r>
        <w:rPr>
          <w:b/>
          <w:u w:val="double"/>
        </w:rPr>
        <w:t>31, 2002.</w:t>
      </w:r>
    </w:p>
    <w:p>
      <w:pPr>
        <w:pStyle w:val="ListNumber"/>
        <w:numPr>
          <w:ilvl w:val="0"/>
          <w:numId w:val="1"/>
        </w:numPr>
        <w:bidi w:val="0"/>
        <w:spacing w:lineRule="auto" w:line="480"/>
        <w:ind w:firstLine="360" w:start="0"/>
        <w:rPr>
          <w:rFonts w:ascii="Times New Roman" w:hAnsi="Times New Roman"/>
          <w:b/>
          <w:u w:val="double"/>
        </w:rPr>
      </w:pPr>
      <w:r>
        <w:rPr>
          <w:b/>
          <w:u w:val="double"/>
        </w:rPr>
        <w:t>The undersigned parties agree to adjourn the return date of the motion to abstain and, in the alternative, transfer venue from December 27, 2001 to a date convenient for the Court on or after January 7, 2002 (unless the provisions of paragraph 3 hereof are first triggered).</w:t>
      </w:r>
    </w:p>
    <w:p>
      <w:pPr>
        <w:pStyle w:val="ListNumber"/>
        <w:numPr>
          <w:ilvl w:val="0"/>
          <w:numId w:val="1"/>
        </w:numPr>
        <w:bidi w:val="0"/>
        <w:spacing w:lineRule="auto" w:line="480"/>
        <w:ind w:firstLine="360" w:start="0"/>
        <w:rPr>
          <w:rFonts w:ascii="Times New Roman" w:hAnsi="Times New Roman"/>
        </w:rPr>
      </w:pPr>
      <w:r>
        <w:rPr>
          <w:b/>
          <w:u w:val="double"/>
        </w:rPr>
        <w:t>Each party will bear its own costs and attorney’s fees in connection with the matters provided for in this Stipulation and Order.</w:t>
      </w:r>
    </w:p>
    <w:tbl>
      <w:tblPr>
        <w:tblW w:w="4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</w:tblGrid>
      <w:tr>
        <w:trPr/>
        <w:tc>
          <w:tcPr>
            <w:tcW w:w="4788" w:type="dxa"/>
            <w:tcBorders/>
          </w:tcPr>
          <w:p>
            <w:pPr>
              <w:pStyle w:val="BodyText"/>
              <w:tabs>
                <w:tab w:val="clear" w:pos="720"/>
                <w:tab w:val="left" w:pos="810" w:leader="none"/>
              </w:tabs>
              <w:bidi w:val="0"/>
              <w:spacing w:before="0" w:after="0"/>
              <w:rPr/>
            </w:pPr>
            <w:r>
              <w:rPr/>
              <w:t>Dated:</w:t>
              <w:tab/>
              <w:t>New York, New York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BodyText"/>
              <w:tabs>
                <w:tab w:val="clear" w:pos="720"/>
                <w:tab w:val="left" w:pos="810" w:leader="none"/>
              </w:tabs>
              <w:bidi w:val="0"/>
              <w:spacing w:before="0" w:after="0"/>
              <w:rPr/>
            </w:pPr>
            <w:r>
              <w:rPr/>
              <w:tab/>
              <w:t>December __, 2001</w:t>
            </w:r>
          </w:p>
        </w:tc>
      </w:tr>
    </w:tbl>
    <w:p>
      <w:pPr>
        <w:pStyle w:val="Normal"/>
        <w:widowControl/>
        <w:suppressAutoHyphens w:val="true"/>
        <w:bidi w:val="0"/>
        <w:jc w:val="both"/>
        <w:rPr/>
      </w:pPr>
      <w:r>
        <w:rPr/>
      </w:r>
      <w:r>
        <w:br w:type="page"/>
      </w:r>
    </w:p>
    <w:p>
      <w:pPr>
        <w:pStyle w:val="Normal"/>
        <w:bidi w:val="0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7"/>
      </w:tblGrid>
      <w:tr>
        <w:trPr/>
        <w:tc>
          <w:tcPr>
            <w:tcW w:w="4788" w:type="dxa"/>
            <w:tcBorders/>
          </w:tcPr>
          <w:p>
            <w:pPr>
              <w:pStyle w:val="BodyText"/>
              <w:tabs>
                <w:tab w:val="clear" w:pos="720"/>
                <w:tab w:val="left" w:pos="810" w:leader="none"/>
              </w:tabs>
              <w:bidi w:val="0"/>
              <w:spacing w:before="0" w:after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787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before="0" w:after="120"/>
              <w:rPr/>
            </w:pPr>
            <w:r>
              <w:rPr/>
              <w:t>WEIL, GOTSHAL &amp; MANGES LLP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BodyText"/>
              <w:tabs>
                <w:tab w:val="clear" w:pos="720"/>
                <w:tab w:val="left" w:pos="810" w:leader="none"/>
              </w:tabs>
              <w:bidi w:val="0"/>
              <w:spacing w:before="0" w:after="0"/>
              <w:rPr/>
            </w:pPr>
            <w:r>
              <w:rPr>
                <w:strike/>
              </w:rPr>
              <w:t xml:space="preserve">        </w:t>
            </w:r>
            <w:r>
              <w:rPr/>
              <w:t xml:space="preserve"> </w:t>
            </w:r>
          </w:p>
        </w:tc>
        <w:tc>
          <w:tcPr>
            <w:tcW w:w="4787" w:type="dxa"/>
            <w:tcBorders/>
          </w:tcPr>
          <w:p>
            <w:pPr>
              <w:pStyle w:val="BodyText"/>
              <w:tabs>
                <w:tab w:val="clear" w:pos="720"/>
                <w:tab w:val="right" w:pos="3852" w:leader="none"/>
              </w:tabs>
              <w:bidi w:val="0"/>
              <w:spacing w:before="0" w:after="0"/>
              <w:rPr/>
            </w:pPr>
            <w:r>
              <w:rPr>
                <w:u w:val="single"/>
              </w:rPr>
              <w:tab/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BodyText"/>
              <w:tabs>
                <w:tab w:val="clear" w:pos="720"/>
                <w:tab w:val="left" w:pos="810" w:leader="none"/>
              </w:tabs>
              <w:bidi w:val="0"/>
              <w:spacing w:before="0" w:after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787" w:type="dxa"/>
            <w:tcBorders/>
          </w:tcPr>
          <w:p>
            <w:pPr>
              <w:pStyle w:val="BodyText"/>
              <w:tabs>
                <w:tab w:val="clear" w:pos="720"/>
                <w:tab w:val="right" w:pos="4392" w:leader="none"/>
              </w:tabs>
              <w:bidi w:val="0"/>
              <w:spacing w:before="0" w:after="0"/>
              <w:rPr/>
            </w:pPr>
            <w:r>
              <w:rPr/>
              <w:t>Martin J. Bienenstock (MB-3001)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BodyText"/>
              <w:tabs>
                <w:tab w:val="clear" w:pos="720"/>
                <w:tab w:val="left" w:pos="810" w:leader="none"/>
              </w:tabs>
              <w:bidi w:val="0"/>
              <w:spacing w:before="0" w:after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787" w:type="dxa"/>
            <w:tcBorders/>
          </w:tcPr>
          <w:p>
            <w:pPr>
              <w:pStyle w:val="BodyText"/>
              <w:tabs>
                <w:tab w:val="clear" w:pos="720"/>
                <w:tab w:val="right" w:pos="4392" w:leader="none"/>
              </w:tabs>
              <w:bidi w:val="0"/>
              <w:spacing w:before="0" w:after="0"/>
              <w:rPr/>
            </w:pPr>
            <w:r>
              <w:rPr/>
              <w:t>Greg A. Danilow (GD-1621)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BodyText"/>
              <w:tabs>
                <w:tab w:val="clear" w:pos="720"/>
                <w:tab w:val="left" w:pos="810" w:leader="none"/>
              </w:tabs>
              <w:bidi w:val="0"/>
              <w:spacing w:before="0" w:after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787" w:type="dxa"/>
            <w:tcBorders/>
          </w:tcPr>
          <w:p>
            <w:pPr>
              <w:pStyle w:val="BodyText"/>
              <w:tabs>
                <w:tab w:val="clear" w:pos="720"/>
                <w:tab w:val="right" w:pos="4392" w:leader="none"/>
              </w:tabs>
              <w:bidi w:val="0"/>
              <w:spacing w:before="0" w:after="0"/>
              <w:rPr/>
            </w:pPr>
            <w:r>
              <w:rPr/>
              <w:t>Brian S. Rosen (BR-0571)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BodyText"/>
              <w:tabs>
                <w:tab w:val="clear" w:pos="720"/>
                <w:tab w:val="left" w:pos="810" w:leader="none"/>
              </w:tabs>
              <w:bidi w:val="0"/>
              <w:spacing w:before="0" w:after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787" w:type="dxa"/>
            <w:tcBorders/>
          </w:tcPr>
          <w:p>
            <w:pPr>
              <w:pStyle w:val="BodyText"/>
              <w:tabs>
                <w:tab w:val="clear" w:pos="720"/>
                <w:tab w:val="right" w:pos="4392" w:leader="none"/>
              </w:tabs>
              <w:bidi w:val="0"/>
              <w:spacing w:before="0" w:after="0"/>
              <w:rPr/>
            </w:pPr>
            <w:r>
              <w:rPr/>
              <w:t>767 Fifth Avenue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BodyText"/>
              <w:tabs>
                <w:tab w:val="clear" w:pos="720"/>
                <w:tab w:val="left" w:pos="810" w:leader="none"/>
              </w:tabs>
              <w:bidi w:val="0"/>
              <w:spacing w:before="0" w:after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787" w:type="dxa"/>
            <w:tcBorders/>
          </w:tcPr>
          <w:p>
            <w:pPr>
              <w:pStyle w:val="BodyText"/>
              <w:tabs>
                <w:tab w:val="clear" w:pos="720"/>
                <w:tab w:val="right" w:pos="4392" w:leader="none"/>
              </w:tabs>
              <w:bidi w:val="0"/>
              <w:spacing w:before="0" w:after="0"/>
              <w:rPr/>
            </w:pPr>
            <w:r>
              <w:rPr/>
              <w:t>New York, New York 10153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BodyText"/>
              <w:tabs>
                <w:tab w:val="clear" w:pos="720"/>
                <w:tab w:val="left" w:pos="810" w:leader="none"/>
              </w:tabs>
              <w:bidi w:val="0"/>
              <w:spacing w:before="0" w:after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787" w:type="dxa"/>
            <w:tcBorders/>
          </w:tcPr>
          <w:p>
            <w:pPr>
              <w:pStyle w:val="BodyText"/>
              <w:tabs>
                <w:tab w:val="clear" w:pos="720"/>
                <w:tab w:val="right" w:pos="4392" w:leader="none"/>
              </w:tabs>
              <w:bidi w:val="0"/>
              <w:spacing w:before="0" w:after="0"/>
              <w:rPr/>
            </w:pPr>
            <w:r>
              <w:rPr/>
              <w:t>Telephone:    (212) 310-8000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BodyText"/>
              <w:tabs>
                <w:tab w:val="clear" w:pos="720"/>
                <w:tab w:val="left" w:pos="810" w:leader="none"/>
              </w:tabs>
              <w:bidi w:val="0"/>
              <w:spacing w:before="0" w:after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787" w:type="dxa"/>
            <w:tcBorders/>
          </w:tcPr>
          <w:p>
            <w:pPr>
              <w:pStyle w:val="BodyText"/>
              <w:tabs>
                <w:tab w:val="clear" w:pos="720"/>
                <w:tab w:val="right" w:pos="4392" w:leader="none"/>
              </w:tabs>
              <w:bidi w:val="0"/>
              <w:spacing w:before="0" w:after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BodyText"/>
              <w:tabs>
                <w:tab w:val="clear" w:pos="720"/>
                <w:tab w:val="left" w:pos="810" w:leader="none"/>
              </w:tabs>
              <w:bidi w:val="0"/>
              <w:spacing w:before="0" w:after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787" w:type="dxa"/>
            <w:tcBorders/>
          </w:tcPr>
          <w:p>
            <w:pPr>
              <w:pStyle w:val="BodyText"/>
              <w:tabs>
                <w:tab w:val="clear" w:pos="720"/>
                <w:tab w:val="right" w:pos="4392" w:leader="none"/>
              </w:tabs>
              <w:bidi w:val="0"/>
              <w:spacing w:before="0" w:after="0"/>
              <w:rPr/>
            </w:pPr>
            <w:r>
              <w:rPr/>
              <w:t>Attorneys for Plaintiffs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BodyText"/>
              <w:tabs>
                <w:tab w:val="clear" w:pos="720"/>
                <w:tab w:val="left" w:pos="810" w:leader="none"/>
              </w:tabs>
              <w:bidi w:val="0"/>
              <w:spacing w:before="0" w:after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787" w:type="dxa"/>
            <w:tcBorders/>
          </w:tcPr>
          <w:p>
            <w:pPr>
              <w:pStyle w:val="BodyText"/>
              <w:tabs>
                <w:tab w:val="clear" w:pos="720"/>
                <w:tab w:val="right" w:pos="4392" w:leader="none"/>
              </w:tabs>
              <w:bidi w:val="0"/>
              <w:spacing w:before="0" w:after="0"/>
              <w:rPr/>
            </w:pPr>
            <w:r>
              <w:rPr/>
              <w:t>Enron Corp., Enron Transportation Services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BodyText"/>
              <w:tabs>
                <w:tab w:val="clear" w:pos="720"/>
                <w:tab w:val="left" w:pos="810" w:leader="none"/>
              </w:tabs>
              <w:bidi w:val="0"/>
              <w:spacing w:before="0" w:after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787" w:type="dxa"/>
            <w:tcBorders/>
          </w:tcPr>
          <w:p>
            <w:pPr>
              <w:pStyle w:val="BodyText"/>
              <w:tabs>
                <w:tab w:val="clear" w:pos="720"/>
                <w:tab w:val="right" w:pos="4392" w:leader="none"/>
              </w:tabs>
              <w:bidi w:val="0"/>
              <w:spacing w:before="0" w:after="0"/>
              <w:rPr/>
            </w:pPr>
            <w:r>
              <w:rPr/>
              <w:t>Co., CGNN Holding Company, Inc., and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BodyText"/>
              <w:tabs>
                <w:tab w:val="clear" w:pos="720"/>
                <w:tab w:val="left" w:pos="810" w:leader="none"/>
              </w:tabs>
              <w:bidi w:val="0"/>
              <w:spacing w:before="0" w:after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787" w:type="dxa"/>
            <w:tcBorders/>
          </w:tcPr>
          <w:p>
            <w:pPr>
              <w:pStyle w:val="BodyText"/>
              <w:tabs>
                <w:tab w:val="clear" w:pos="720"/>
                <w:tab w:val="right" w:pos="4392" w:leader="none"/>
              </w:tabs>
              <w:bidi w:val="0"/>
              <w:spacing w:before="0" w:after="0"/>
              <w:rPr/>
            </w:pPr>
            <w:r>
              <w:rPr/>
              <w:t>MCTJ Holding Co. LLC</w:t>
            </w:r>
          </w:p>
        </w:tc>
      </w:tr>
    </w:tbl>
    <w:p>
      <w:pPr>
        <w:pStyle w:val="BodyText"/>
        <w:bidi w:val="0"/>
        <w:spacing w:before="0" w:after="120"/>
        <w:rPr>
          <w:rFonts w:ascii="Times New Roman" w:hAnsi="Times New Roman"/>
        </w:rPr>
      </w:pPr>
      <w:r>
        <w:rPr/>
      </w:r>
    </w:p>
    <w:p>
      <w:pPr>
        <w:pStyle w:val="Signature"/>
        <w:tabs>
          <w:tab w:val="clear" w:pos="720"/>
          <w:tab w:val="right" w:pos="8640" w:leader="none"/>
        </w:tabs>
        <w:bidi w:val="0"/>
        <w:spacing w:before="0" w:after="120"/>
        <w:ind w:hanging="0" w:start="4867"/>
        <w:jc w:val="start"/>
        <w:rPr>
          <w:rFonts w:ascii="Times New Roman" w:hAnsi="Times New Roman"/>
          <w:b/>
          <w:u w:val="double"/>
        </w:rPr>
      </w:pPr>
      <w:r>
        <w:rPr/>
        <w:t>PAUL, WEISS, RIFKIND, WHARTON &amp;</w:t>
        <w:br/>
        <w:t>  GARRISON</w:t>
        <w:br/>
      </w:r>
      <w:r>
        <w:rPr>
          <w:u w:val="single"/>
        </w:rPr>
        <w:tab/>
      </w:r>
    </w:p>
    <w:p>
      <w:pPr>
        <w:pStyle w:val="Signature"/>
        <w:tabs>
          <w:tab w:val="clear" w:pos="720"/>
          <w:tab w:val="right" w:pos="8640" w:leader="none"/>
        </w:tabs>
        <w:bidi w:val="0"/>
        <w:ind w:hanging="0" w:start="4860"/>
        <w:jc w:val="start"/>
        <w:rPr>
          <w:rFonts w:ascii="Times New Roman" w:hAnsi="Times New Roman"/>
        </w:rPr>
      </w:pPr>
      <w:r>
        <w:rPr/>
        <w:t>Stephen J. Shimshak (SJS 8822)</w:t>
        <w:br/>
        <w:t>Steven B. Rosenfeld (SBR 9539)</w:t>
        <w:br/>
        <w:t>1285 Avenue of the Americas</w:t>
        <w:br/>
        <w:t>New York, New York 10019</w:t>
        <w:br/>
        <w:t>Telephone:    (212) 373-3000</w:t>
        <w:br/>
        <w:br/>
        <w:t>- and –</w:t>
      </w:r>
    </w:p>
    <w:p>
      <w:pPr>
        <w:pStyle w:val="Signature"/>
        <w:bidi w:val="0"/>
        <w:ind w:hanging="0" w:start="4860"/>
        <w:rPr>
          <w:rFonts w:ascii="Times New Roman" w:hAnsi="Times New Roman"/>
        </w:rPr>
      </w:pPr>
      <w:r>
        <w:rPr/>
      </w:r>
    </w:p>
    <w:p>
      <w:pPr>
        <w:pStyle w:val="Signature"/>
        <w:bidi w:val="0"/>
        <w:ind w:hanging="0" w:start="4860"/>
        <w:jc w:val="start"/>
        <w:rPr>
          <w:rFonts w:ascii="Times New Roman" w:hAnsi="Times New Roman"/>
        </w:rPr>
      </w:pPr>
      <w:r>
        <w:rPr/>
        <w:t>AKIN, GUMP, STRAUSS</w:t>
        <w:br/>
        <w:t>  HAUER &amp; FELD L.L.P.</w:t>
        <w:br/>
        <w:t>Daniel H. Golden (DHG 5624)</w:t>
        <w:br/>
        <w:t>Ira S. Dizengoff (ISD 9980)</w:t>
        <w:br/>
        <w:t>590 Madison Avenue</w:t>
        <w:br/>
        <w:t>New York, New York 10022</w:t>
        <w:br/>
        <w:t>Telephone (212) 872-1000</w:t>
        <w:br/>
        <w:br/>
        <w:t>H. Rey Stroube, III (HS 3607)</w:t>
        <w:br/>
        <w:t>711 Louisiana, Suite 1900</w:t>
        <w:br/>
        <w:t>Houston, Texas 77002</w:t>
        <w:br/>
        <w:t>Telephone: (713) 220-5800</w:t>
        <w:br/>
        <w:br/>
        <w:t>Attorneys for Dynegy Inc. and Dynegy Holdings Inc.</w:t>
      </w:r>
    </w:p>
    <w:p>
      <w:pPr>
        <w:pStyle w:val="Signature"/>
        <w:bidi w:val="0"/>
        <w:ind w:hanging="0" w:start="4860"/>
        <w:jc w:val="start"/>
        <w:rPr>
          <w:rFonts w:ascii="Times New Roman" w:hAnsi="Times New Roman"/>
        </w:rPr>
      </w:pPr>
      <w:r>
        <w:rPr/>
      </w:r>
    </w:p>
    <w:p>
      <w:pPr>
        <w:pStyle w:val="BodyText2"/>
        <w:bidi w:val="0"/>
        <w:spacing w:before="0" w:after="120"/>
        <w:rPr>
          <w:rFonts w:ascii="Times New Roman" w:hAnsi="Times New Roman"/>
        </w:rPr>
      </w:pPr>
      <w:r>
        <w:rPr/>
        <w:t>SO ORDERED, this __ day of December, 2001:</w:t>
      </w:r>
    </w:p>
    <w:p>
      <w:pPr>
        <w:pStyle w:val="BodyText2"/>
        <w:tabs>
          <w:tab w:val="clear" w:pos="720"/>
          <w:tab w:val="right" w:pos="4500" w:leader="none"/>
        </w:tabs>
        <w:bidi w:val="0"/>
        <w:rPr>
          <w:rFonts w:ascii="Times New Roman" w:hAnsi="Times New Roman"/>
        </w:rPr>
      </w:pPr>
      <w:r>
        <w:rPr>
          <w:u w:val="single"/>
        </w:rPr>
        <w:tab/>
      </w:r>
      <w:r>
        <w:rPr/>
        <w:br/>
        <w:t>Arthur J. Gonzalez, U.S. Bankruptcy Judge</w:t>
      </w:r>
    </w:p>
    <w:p>
      <w:pPr>
        <w:pStyle w:val="BodyText2"/>
        <w:tabs>
          <w:tab w:val="clear" w:pos="720"/>
          <w:tab w:val="right" w:pos="4500" w:leader="none"/>
        </w:tabs>
        <w:bidi w:val="0"/>
        <w:rPr>
          <w:rFonts w:ascii="Times New Roman" w:hAnsi="Times New Roman"/>
        </w:rPr>
      </w:pPr>
      <w:r>
        <w:rPr/>
      </w:r>
    </w:p>
    <w:p>
      <w:pPr>
        <w:pStyle w:val="BodyText2"/>
        <w:tabs>
          <w:tab w:val="clear" w:pos="720"/>
          <w:tab w:val="right" w:pos="4500" w:leader="none"/>
        </w:tabs>
        <w:bidi w:val="0"/>
        <w:rPr>
          <w:rFonts w:ascii="Times New Roman" w:hAnsi="Times New Roman"/>
        </w:rPr>
      </w:pPr>
      <w:r>
        <w:rPr/>
        <w:t xml:space="preserve">This redlined draft, generated by CompareRite (TM) - The Instant Redliner, shows the differences between - </w:t>
      </w:r>
    </w:p>
    <w:p>
      <w:pPr>
        <w:pStyle w:val="BodyText2"/>
        <w:tabs>
          <w:tab w:val="clear" w:pos="720"/>
          <w:tab w:val="right" w:pos="4500" w:leader="none"/>
        </w:tabs>
        <w:bidi w:val="0"/>
        <w:rPr>
          <w:rFonts w:ascii="Times New Roman" w:hAnsi="Times New Roman"/>
        </w:rPr>
      </w:pPr>
      <w:r>
        <w:rPr/>
        <w:t>original document      : G:\DATA\NY1\MURAGE\PLD\N38201!.DOC</w:t>
      </w:r>
    </w:p>
    <w:p>
      <w:pPr>
        <w:pStyle w:val="BodyText2"/>
        <w:tabs>
          <w:tab w:val="clear" w:pos="720"/>
          <w:tab w:val="right" w:pos="4500" w:leader="none"/>
        </w:tabs>
        <w:bidi w:val="0"/>
        <w:rPr>
          <w:rFonts w:ascii="Times New Roman" w:hAnsi="Times New Roman"/>
        </w:rPr>
      </w:pPr>
      <w:r>
        <w:rPr/>
        <w:t>and revised document: G:\DATA\NY1\MURAGE\PLD\N38203!.DOC</w:t>
      </w:r>
    </w:p>
    <w:p>
      <w:pPr>
        <w:pStyle w:val="BodyText2"/>
        <w:tabs>
          <w:tab w:val="clear" w:pos="720"/>
          <w:tab w:val="right" w:pos="4500" w:leader="none"/>
        </w:tabs>
        <w:bidi w:val="0"/>
        <w:rPr>
          <w:rFonts w:ascii="Times New Roman" w:hAnsi="Times New Roman"/>
        </w:rPr>
      </w:pPr>
      <w:r>
        <w:rPr/>
      </w:r>
    </w:p>
    <w:p>
      <w:pPr>
        <w:pStyle w:val="BodyText2"/>
        <w:tabs>
          <w:tab w:val="clear" w:pos="720"/>
          <w:tab w:val="right" w:pos="4500" w:leader="none"/>
        </w:tabs>
        <w:bidi w:val="0"/>
        <w:rPr>
          <w:rFonts w:ascii="Times New Roman" w:hAnsi="Times New Roman"/>
        </w:rPr>
      </w:pPr>
      <w:r>
        <w:rPr/>
        <w:t>CompareRite found      26 change(s) in the text</w:t>
      </w:r>
    </w:p>
    <w:p>
      <w:pPr>
        <w:pStyle w:val="BodyText2"/>
        <w:tabs>
          <w:tab w:val="clear" w:pos="720"/>
          <w:tab w:val="right" w:pos="4500" w:leader="none"/>
        </w:tabs>
        <w:bidi w:val="0"/>
        <w:rPr>
          <w:rFonts w:ascii="Times New Roman" w:hAnsi="Times New Roman"/>
        </w:rPr>
      </w:pPr>
      <w:r>
        <w:rPr/>
      </w:r>
    </w:p>
    <w:p>
      <w:pPr>
        <w:pStyle w:val="BodyText2"/>
        <w:tabs>
          <w:tab w:val="clear" w:pos="720"/>
          <w:tab w:val="right" w:pos="4500" w:leader="none"/>
        </w:tabs>
        <w:bidi w:val="0"/>
        <w:rPr>
          <w:rFonts w:ascii="Times New Roman" w:hAnsi="Times New Roman"/>
        </w:rPr>
      </w:pPr>
      <w:r>
        <w:rPr/>
        <w:t xml:space="preserve">Deletions appear as Overstrike text </w:t>
      </w:r>
    </w:p>
    <w:p>
      <w:pPr>
        <w:pStyle w:val="BodyText2"/>
        <w:tabs>
          <w:tab w:val="clear" w:pos="720"/>
          <w:tab w:val="right" w:pos="4500" w:leader="none"/>
        </w:tabs>
        <w:bidi w:val="0"/>
        <w:rPr>
          <w:rFonts w:ascii="Times New Roman" w:hAnsi="Times New Roman"/>
        </w:rPr>
      </w:pPr>
      <w:r>
        <w:rPr/>
        <w:t xml:space="preserve">Additions appear as Bold+Dbl Underline text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576" w:top="1440" w:footer="576" w:bottom="144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320" w:leader="none"/>
        <w:tab w:val="center" w:pos="4680" w:leader="none"/>
        <w:tab w:val="right" w:pos="9360" w:leader="none"/>
      </w:tabs>
      <w:bidi w:val="0"/>
      <w:rPr>
        <w:rFonts w:ascii="Times New Roman" w:hAnsi="Times New Roman"/>
      </w:rPr>
    </w:pPr>
    <w:r>
      <w:rPr>
        <w:rStyle w:val="TrailerWGM"/>
      </w:rPr>
      <w:fldChar w:fldCharType="begin"/>
    </w:r>
    <w:r>
      <w:rPr>
        <w:rStyle w:val="TrailerWGM"/>
      </w:rPr>
      <w:instrText xml:space="preserve"> DOCPROPERTY "WGM_Trailer"</w:instrText>
    </w:r>
    <w:r>
      <w:rPr>
        <w:rStyle w:val="TrailerWGM"/>
      </w:rPr>
      <w:fldChar w:fldCharType="separate"/>
    </w:r>
    <w:r>
      <w:rPr>
        <w:rStyle w:val="TrailerWGM"/>
      </w:rPr>
      <w:t>NY1:\1077266\03\N38203!.DOC\43889.0003</w:t>
    </w:r>
    <w:r>
      <w:rPr>
        <w:rStyle w:val="TrailerWGM"/>
      </w:rPr>
      <w:fldChar w:fldCharType="end"/>
    </w:r>
    <w:r>
      <w:rPr/>
      <w:t xml:space="preserve"> </w:t>
    </w:r>
    <w:r>
      <w:rPr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rPr>
        <w:rFonts w:ascii="Times New Roman" w:hAnsi="Times New Roman"/>
      </w:rPr>
    </w:pPr>
    <w:r>
      <w:rPr>
        <w:rStyle w:val="TrailerWGM"/>
      </w:rPr>
      <w:fldChar w:fldCharType="begin"/>
    </w:r>
    <w:r>
      <w:rPr>
        <w:rStyle w:val="TrailerWGM"/>
      </w:rPr>
      <w:instrText xml:space="preserve"> DOCPROPERTY "WGM_Trailer"</w:instrText>
    </w:r>
    <w:r>
      <w:rPr>
        <w:rStyle w:val="TrailerWGM"/>
      </w:rPr>
      <w:fldChar w:fldCharType="separate"/>
    </w:r>
    <w:r>
      <w:rPr>
        <w:rStyle w:val="TrailerWGM"/>
      </w:rPr>
      <w:t>NY1:\1077266\03\N38203!.DOC\43889.0003</w:t>
    </w:r>
    <w:r>
      <w:rPr>
        <w:rStyle w:val="TrailerWGM"/>
      </w:rPr>
      <w:fldChar w:fldCharType="end"/>
    </w:r>
    <w:r>
      <w:rPr/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rPr>
        <w:rFonts w:ascii="Times New Roman" w:hAnsi="Times New Roman"/>
      </w:rPr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rPr>
        <w:rFonts w:ascii="Times New Roman" w:hAnsi="Times New Roman"/>
      </w:rPr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both"/>
    </w:pPr>
    <w:rPr>
      <w:rFonts w:ascii="Times New Roman" w:hAnsi="Times New Roman" w:eastAsia="Arial" w:cs="Times New Roman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Normal"/>
    <w:qFormat/>
    <w:pPr>
      <w:keepNext w:val="true"/>
      <w:tabs>
        <w:tab w:val="clear" w:pos="720"/>
        <w:tab w:val="left" w:pos="360" w:leader="none"/>
      </w:tabs>
      <w:spacing w:before="0" w:after="240"/>
      <w:jc w:val="both"/>
    </w:pPr>
    <w:rPr/>
  </w:style>
  <w:style w:type="paragraph" w:styleId="Heading2">
    <w:name w:val="heading 2"/>
    <w:basedOn w:val="Normal"/>
    <w:qFormat/>
    <w:pPr>
      <w:keepNext w:val="true"/>
      <w:tabs>
        <w:tab w:val="left" w:pos="720" w:leader="none"/>
      </w:tabs>
      <w:spacing w:before="0" w:after="240"/>
      <w:ind w:hanging="360" w:start="720"/>
      <w:jc w:val="both"/>
    </w:pPr>
    <w:rPr/>
  </w:style>
  <w:style w:type="paragraph" w:styleId="Heading3">
    <w:name w:val="heading 3"/>
    <w:basedOn w:val="Normal"/>
    <w:qFormat/>
    <w:pPr>
      <w:tabs>
        <w:tab w:val="clear" w:pos="720"/>
        <w:tab w:val="left" w:pos="1080" w:leader="none"/>
      </w:tabs>
      <w:spacing w:before="0" w:after="240"/>
      <w:ind w:hanging="360" w:start="1080"/>
      <w:jc w:val="both"/>
    </w:pPr>
    <w:rPr/>
  </w:style>
  <w:style w:type="paragraph" w:styleId="Heading4">
    <w:name w:val="heading 4"/>
    <w:basedOn w:val="Normal"/>
    <w:qFormat/>
    <w:pPr>
      <w:tabs>
        <w:tab w:val="clear" w:pos="720"/>
        <w:tab w:val="left" w:pos="1440" w:leader="none"/>
      </w:tabs>
      <w:spacing w:before="0" w:after="240"/>
      <w:ind w:hanging="360" w:start="1440"/>
      <w:jc w:val="both"/>
    </w:pPr>
    <w:rPr/>
  </w:style>
  <w:style w:type="paragraph" w:styleId="Heading5">
    <w:name w:val="heading 5"/>
    <w:basedOn w:val="Normal"/>
    <w:qFormat/>
    <w:pPr>
      <w:tabs>
        <w:tab w:val="clear" w:pos="720"/>
        <w:tab w:val="left" w:pos="1800" w:leader="none"/>
      </w:tabs>
      <w:spacing w:before="0" w:after="240"/>
      <w:ind w:hanging="360" w:start="1800"/>
      <w:jc w:val="both"/>
    </w:pPr>
    <w:rPr/>
  </w:style>
  <w:style w:type="paragraph" w:styleId="Heading6">
    <w:name w:val="heading 6"/>
    <w:basedOn w:val="Normal"/>
    <w:qFormat/>
    <w:pPr>
      <w:tabs>
        <w:tab w:val="clear" w:pos="720"/>
        <w:tab w:val="left" w:pos="2160" w:leader="none"/>
      </w:tabs>
      <w:spacing w:before="0" w:after="240"/>
      <w:ind w:hanging="360" w:start="2160"/>
      <w:jc w:val="both"/>
    </w:pPr>
    <w:rPr/>
  </w:style>
  <w:style w:type="paragraph" w:styleId="Heading7">
    <w:name w:val="heading 7"/>
    <w:basedOn w:val="Normal"/>
    <w:qFormat/>
    <w:pPr>
      <w:tabs>
        <w:tab w:val="clear" w:pos="720"/>
        <w:tab w:val="left" w:pos="2520" w:leader="none"/>
      </w:tabs>
      <w:spacing w:before="0" w:after="240"/>
      <w:ind w:hanging="360" w:start="2520"/>
      <w:jc w:val="both"/>
    </w:pPr>
    <w:rPr/>
  </w:style>
  <w:style w:type="paragraph" w:styleId="Heading8">
    <w:name w:val="heading 8"/>
    <w:basedOn w:val="Normal"/>
    <w:qFormat/>
    <w:pPr>
      <w:tabs>
        <w:tab w:val="clear" w:pos="720"/>
        <w:tab w:val="left" w:pos="2880" w:leader="none"/>
      </w:tabs>
      <w:spacing w:before="0" w:after="240"/>
      <w:ind w:hanging="360" w:start="2880"/>
      <w:jc w:val="both"/>
    </w:pPr>
    <w:rPr/>
  </w:style>
  <w:style w:type="paragraph" w:styleId="Heading9">
    <w:name w:val="heading 9"/>
    <w:basedOn w:val="Normal"/>
    <w:qFormat/>
    <w:pPr>
      <w:tabs>
        <w:tab w:val="clear" w:pos="720"/>
        <w:tab w:val="left" w:pos="3240" w:leader="none"/>
      </w:tabs>
      <w:spacing w:before="0" w:after="240"/>
      <w:ind w:hanging="360" w:start="3240"/>
      <w:jc w:val="both"/>
    </w:pPr>
    <w:rPr/>
  </w:style>
  <w:style w:type="character" w:styleId="DefaultParagraphFont">
    <w:name w:val="Default Paragraph Font"/>
    <w:qFormat/>
    <w:rPr>
      <w:sz w:val="20"/>
    </w:rPr>
  </w:style>
  <w:style w:type="character" w:styleId="PageNumber">
    <w:name w:val="page number"/>
    <w:basedOn w:val="DefaultParagraphFont"/>
    <w:rPr/>
  </w:style>
  <w:style w:type="character" w:styleId="TrailerWGM">
    <w:name w:val="Trailer WGM"/>
    <w:basedOn w:val="DefaultParagraphFont"/>
    <w:qFormat/>
    <w:rPr>
      <w:caps/>
      <w:sz w:val="14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/>
      <w:jc w:val="both"/>
    </w:pPr>
    <w:rPr/>
  </w:style>
  <w:style w:type="paragraph" w:styleId="EnvelopeReturn">
    <w:name w:val="envelope return"/>
    <w:basedOn w:val="Normal"/>
    <w:pPr>
      <w:jc w:val="both"/>
    </w:pPr>
    <w:rPr>
      <w:sz w:val="20"/>
    </w:rPr>
  </w:style>
  <w:style w:type="paragraph" w:styleId="Subtitle">
    <w:name w:val="Subtitle"/>
    <w:basedOn w:val="Normal"/>
    <w:next w:val="BodyText"/>
    <w:qFormat/>
    <w:pPr>
      <w:jc w:val="center"/>
    </w:pPr>
    <w:rPr/>
  </w:style>
  <w:style w:type="paragraph" w:styleId="Title">
    <w:name w:val="Title"/>
    <w:basedOn w:val="Normal"/>
    <w:next w:val="BodyText"/>
    <w:qFormat/>
    <w:pPr>
      <w:jc w:val="center"/>
    </w:pPr>
    <w:rPr>
      <w:b/>
      <w:kern w:val="2"/>
      <w:sz w:val="32"/>
    </w:rPr>
  </w:style>
  <w:style w:type="paragraph" w:styleId="TOAHeading">
    <w:name w:val="TOA Heading"/>
    <w:basedOn w:val="Normal"/>
    <w:next w:val="Normal"/>
    <w:qFormat/>
    <w:pPr>
      <w:spacing w:before="120" w:after="0"/>
      <w:jc w:val="both"/>
    </w:pPr>
    <w:rPr>
      <w:b/>
    </w:rPr>
  </w:style>
  <w:style w:type="paragraph" w:styleId="Closing">
    <w:name w:val="Closing"/>
    <w:basedOn w:val="Normal"/>
    <w:pPr>
      <w:ind w:hanging="0" w:start="5040"/>
      <w:jc w:val="both"/>
    </w:pPr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jc w:val="both"/>
    </w:pPr>
    <w:rPr>
      <w:sz w:val="16"/>
    </w:rPr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  <w:jc w:val="both"/>
    </w:pPr>
    <w:rPr/>
  </w:style>
  <w:style w:type="paragraph" w:styleId="NormalIndent">
    <w:name w:val="Normal Indent"/>
    <w:basedOn w:val="Normal"/>
    <w:qFormat/>
    <w:pPr>
      <w:spacing w:before="0" w:after="240"/>
      <w:ind w:firstLine="1440"/>
      <w:jc w:val="both"/>
    </w:pPr>
    <w:rPr/>
  </w:style>
  <w:style w:type="paragraph" w:styleId="Signature">
    <w:name w:val="Signature"/>
    <w:basedOn w:val="Normal"/>
    <w:pPr>
      <w:ind w:hanging="0" w:start="5040"/>
      <w:jc w:val="both"/>
    </w:pPr>
    <w:rPr/>
  </w:style>
  <w:style w:type="paragraph" w:styleId="BodyText2">
    <w:name w:val="Body Text 2"/>
    <w:basedOn w:val="Normal"/>
    <w:qFormat/>
    <w:pPr>
      <w:jc w:val="both"/>
    </w:pPr>
    <w:rPr/>
  </w:style>
  <w:style w:type="paragraph" w:styleId="BodyTextFirstIndent">
    <w:name w:val="Body Text First Indent"/>
    <w:basedOn w:val="BodyText"/>
    <w:pPr>
      <w:spacing w:before="0" w:after="240"/>
      <w:ind w:firstLine="1440"/>
      <w:jc w:val="both"/>
    </w:pPr>
    <w:rPr/>
  </w:style>
  <w:style w:type="paragraph" w:styleId="BlockText">
    <w:name w:val="Block Text"/>
    <w:basedOn w:val="Normal"/>
    <w:qFormat/>
    <w:pPr>
      <w:spacing w:before="0" w:after="240"/>
      <w:ind w:hanging="0" w:start="1440" w:end="1440"/>
      <w:jc w:val="both"/>
    </w:pPr>
    <w:rPr/>
  </w:style>
  <w:style w:type="paragraph" w:styleId="BodyText3">
    <w:name w:val="Body Text 3"/>
    <w:basedOn w:val="Normal"/>
    <w:qFormat/>
    <w:pPr>
      <w:spacing w:before="0" w:after="240"/>
      <w:jc w:val="both"/>
    </w:pPr>
    <w:rPr/>
  </w:style>
  <w:style w:type="paragraph" w:styleId="BodyTextIndent">
    <w:name w:val="Body Text Indent"/>
    <w:basedOn w:val="Normal"/>
    <w:pPr>
      <w:spacing w:before="0" w:after="240"/>
      <w:ind w:hanging="720" w:start="1440"/>
      <w:jc w:val="both"/>
    </w:pPr>
    <w:rPr/>
  </w:style>
  <w:style w:type="paragraph" w:styleId="BodyTextFirstIndent2">
    <w:name w:val="Body Text First Indent 2"/>
    <w:basedOn w:val="BodyTextIndent"/>
    <w:qFormat/>
    <w:pPr>
      <w:spacing w:before="0" w:after="240"/>
      <w:ind w:firstLine="1440" w:start="1440"/>
      <w:jc w:val="both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start="720"/>
      <w:jc w:val="both"/>
    </w:pPr>
    <w:rPr/>
  </w:style>
  <w:style w:type="paragraph" w:styleId="BodyTextIndent3">
    <w:name w:val="Body Text Indent 3"/>
    <w:basedOn w:val="Normal"/>
    <w:qFormat/>
    <w:pPr>
      <w:spacing w:before="0" w:after="240"/>
      <w:ind w:hanging="0" w:start="720"/>
      <w:jc w:val="both"/>
    </w:pPr>
    <w:rPr/>
  </w:style>
  <w:style w:type="paragraph" w:styleId="Date">
    <w:name w:val="Date"/>
    <w:basedOn w:val="Normal"/>
    <w:next w:val="BodyText"/>
    <w:qFormat/>
    <w:pPr>
      <w:jc w:val="both"/>
    </w:pPr>
    <w:rPr/>
  </w:style>
  <w:style w:type="paragraph" w:styleId="NoteHeading">
    <w:name w:val="Note Heading"/>
    <w:basedOn w:val="Normal"/>
    <w:next w:val="BodyText"/>
    <w:qFormat/>
    <w:pPr>
      <w:jc w:val="both"/>
    </w:pPr>
    <w:rPr/>
  </w:style>
  <w:style w:type="paragraph" w:styleId="Salutation">
    <w:name w:val="Salutation"/>
    <w:basedOn w:val="Normal"/>
    <w:next w:val="BodyText"/>
    <w:pPr>
      <w:jc w:val="both"/>
    </w:pPr>
    <w:rPr/>
  </w:style>
  <w:style w:type="paragraph" w:styleId="ListNumber">
    <w:name w:val="List Number"/>
    <w:basedOn w:val="Normal"/>
    <w:pPr>
      <w:numPr>
        <w:ilvl w:val="0"/>
        <w:numId w:val="1"/>
      </w:numPr>
      <w:tabs>
        <w:tab w:val="clear" w:pos="720"/>
        <w:tab w:val="left" w:pos="360" w:leader="none"/>
      </w:tabs>
      <w:spacing w:lineRule="auto" w:line="480" w:before="0" w:after="240"/>
      <w:ind w:hanging="360" w:start="360"/>
      <w:jc w:val="both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99</Pages>
  <Words>526</Words>
  <CharactersWithSpaces>2789</CharactersWithSpaces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2001-12-24T12:11:00Z</dcterms:created>
  <dc:creator> </dc:creator>
  <dc:description/>
  <cp:keywords>DocsOpen Name: #1077266 v3 - Stipulation</cp:keywords>
  <dc:language>en-CA</dc:language>
  <cp:lastModifiedBy/>
  <cp:lastPrinted>2001-12-24T19:10:00Z</cp:lastPrinted>
  <dcterms:modified xsi:type="dcterms:W3CDTF">2001-12-24T19:31:00Z</dcterms:modified>
  <cp:revision>11</cp:revision>
  <dc:subject>DocsOpen Loc:G:\DATA\NY1\MURAGE\PLD\N38203!.DOC</dc:subject>
  <dc:title>Local: C:\WINDOWS\DESKTOP\Stipulation.DOC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STOSSEL</vt:lpwstr>
  </property>
  <property fmtid="{D5CDD505-2E9C-101B-9397-08002B2CF9AE}" pid="3" name="PaperType">
    <vt:lpwstr>Letter (Draft)</vt:lpwstr>
  </property>
  <property fmtid="{D5CDD505-2E9C-101B-9397-08002B2CF9AE}" pid="4" name="WGM_Trailer">
    <vt:lpwstr>NY1:\1077266\03\N38203!.DOC\43889.0003</vt:lpwstr>
  </property>
</Properties>
</file>