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keepNext w:val="false"/>
        <w:spacing w:before="0" w:after="0"/>
        <w:outlineLvl w:val="9"/>
        <w:rPr>
          <w:u w:val="single"/>
        </w:rPr>
      </w:pPr>
      <w:bookmarkStart w:id="0" w:name="_Ref503852638"/>
      <w:bookmarkStart w:id="1" w:name="_Ref482162984"/>
      <w:r>
        <w:rPr>
          <w:u w:val="single"/>
        </w:rPr>
        <w:t>EXHIBIT C</w:t>
      </w:r>
    </w:p>
    <w:p>
      <w:pPr>
        <w:pStyle w:val="Heading"/>
        <w:keepNext w:val="false"/>
        <w:spacing w:before="0" w:after="0"/>
        <w:outlineLvl w:val="9"/>
        <w:rPr>
          <w:u w:val="single"/>
        </w:rPr>
      </w:pPr>
      <w:r>
        <w:rPr>
          <w:u w:val="single"/>
        </w:rPr>
      </w:r>
    </w:p>
    <w:p>
      <w:pPr>
        <w:pStyle w:val="Heading"/>
        <w:keepNext w:val="false"/>
        <w:spacing w:before="0" w:after="0"/>
        <w:outlineLvl w:val="9"/>
        <w:rPr/>
      </w:pPr>
      <w:r>
        <w:rPr/>
        <w:t>ASSIGNMENT AND LICENSE AGREEMENT</w:t>
      </w:r>
    </w:p>
    <w:p>
      <w:pPr>
        <w:pStyle w:val="Normal"/>
        <w:rPr/>
      </w:pPr>
      <w:r>
        <w:rPr/>
      </w:r>
    </w:p>
    <w:p>
      <w:pPr>
        <w:pStyle w:val="Normal"/>
        <w:rPr/>
      </w:pPr>
      <w:r>
        <w:rPr/>
        <w:tab/>
        <w:t>ASSIGNMENT AND LICENSE AGREEMENT (the “</w:t>
      </w:r>
      <w:r>
        <w:rPr>
          <w:u w:val="single"/>
        </w:rPr>
        <w:t>Agreement</w:t>
      </w:r>
      <w:r>
        <w:rPr/>
        <w:t>”) is entered into by and among Enron Corp., an Oregon corporation and debtor-in-possession under Chapter 11 Case No. 01-16034 (AJG), jointly administered, in the United States Bankruptcy Court for the Southern District of New York (“</w:t>
      </w:r>
      <w:r>
        <w:rPr>
          <w:u w:val="single"/>
        </w:rPr>
        <w:t>ENE</w:t>
      </w:r>
      <w:r>
        <w:rPr/>
        <w:t>”), Enron North America Corp., a Delaware corporation and debtor-in-possession under Chapter 11 Case No. 01-16035 (AJG), jointly administered, in the United States Bankruptcy Court for the Southern District of New York (“</w:t>
      </w:r>
      <w:r>
        <w:rPr>
          <w:u w:val="single"/>
        </w:rPr>
        <w:t>ENA</w:t>
      </w:r>
      <w:r>
        <w:rPr/>
        <w:t>”), Enron Net Works L.L.C., a Delaware limited liability company and debtor-in-possession under Chapter 11 Case No. 01-16078 (AJG), jointly administered, in the United States Bankruptcy Court for the Southern District of New York (“</w:t>
      </w:r>
      <w:r>
        <w:rPr>
          <w:u w:val="single"/>
        </w:rPr>
        <w:t>Net Works,</w:t>
      </w:r>
      <w:r>
        <w:rPr/>
        <w:t>” and together with ENE and ENA, individually a “</w:t>
      </w:r>
      <w:r>
        <w:rPr>
          <w:u w:val="single"/>
        </w:rPr>
        <w:t>Contributor</w:t>
      </w:r>
      <w:r>
        <w:rPr/>
        <w:t>,” and collectively, the “</w:t>
      </w:r>
      <w:r>
        <w:rPr>
          <w:u w:val="single"/>
        </w:rPr>
        <w:t>Contributors</w:t>
      </w:r>
      <w:r>
        <w:rPr/>
        <w:t>”) (collectively, with Enron and ENA, “</w:t>
      </w:r>
      <w:r>
        <w:rPr>
          <w:u w:val="single"/>
        </w:rPr>
        <w:t>Assignor</w:t>
      </w:r>
      <w:r>
        <w:rPr/>
        <w:t>”) and The New Energy Trading Company, L.P., a Delaware limited partnership (“</w:t>
      </w:r>
      <w:r>
        <w:rPr>
          <w:u w:val="single"/>
        </w:rPr>
        <w:t>Assignee</w:t>
      </w:r>
      <w:r>
        <w:rPr/>
        <w:t>”), and [________________], a ______________  (“</w:t>
      </w:r>
      <w:r>
        <w:rPr>
          <w:u w:val="single"/>
        </w:rPr>
        <w:t>Parent</w:t>
      </w:r>
      <w:r>
        <w:rPr/>
        <w:t>”).</w:t>
      </w:r>
    </w:p>
    <w:p>
      <w:pPr>
        <w:pStyle w:val="Normal"/>
        <w:rPr/>
      </w:pPr>
      <w:r>
        <w:rPr/>
      </w:r>
    </w:p>
    <w:p>
      <w:pPr>
        <w:pStyle w:val="Normal"/>
        <w:jc w:val="center"/>
        <w:rPr>
          <w:b/>
        </w:rPr>
      </w:pPr>
      <w:r>
        <w:rPr>
          <w:b/>
        </w:rPr>
        <w:t xml:space="preserve"> </w:t>
      </w:r>
      <w:r>
        <w:rPr>
          <w:b/>
        </w:rPr>
        <w:t>RECITALS</w:t>
      </w:r>
    </w:p>
    <w:p>
      <w:pPr>
        <w:pStyle w:val="Normal"/>
        <w:rPr>
          <w:b/>
        </w:rPr>
      </w:pPr>
      <w:r>
        <w:rPr>
          <w:b/>
        </w:rPr>
      </w:r>
    </w:p>
    <w:p>
      <w:pPr>
        <w:pStyle w:val="Normal"/>
        <w:ind w:firstLine="720" w:end="0"/>
        <w:rPr/>
      </w:pPr>
      <w:r>
        <w:rPr/>
        <w:t>WHEREAS, the parties have entered into that certain Contribution Agreement dated as of January __, 2002 (“</w:t>
      </w:r>
      <w:r>
        <w:rPr>
          <w:u w:val="single"/>
        </w:rPr>
        <w:t>Contribution Agreement</w:t>
      </w:r>
      <w:r>
        <w:rPr/>
        <w:t>”); and</w:t>
      </w:r>
    </w:p>
    <w:p>
      <w:pPr>
        <w:pStyle w:val="Normal"/>
        <w:rPr/>
      </w:pPr>
      <w:r>
        <w:rPr/>
      </w:r>
    </w:p>
    <w:p>
      <w:pPr>
        <w:pStyle w:val="Normal"/>
        <w:rPr/>
      </w:pPr>
      <w:r>
        <w:rPr/>
        <w:tab/>
        <w:t xml:space="preserve">WHEREAS, under the Contribution Agreement, the Assignor agreed to assign to Assignee its rights in and to certain application software and related intellectual property subject to the grant of certain licenses back to Assignor from Assignee;  </w:t>
      </w:r>
    </w:p>
    <w:p>
      <w:pPr>
        <w:pStyle w:val="Normal"/>
        <w:rPr/>
      </w:pPr>
      <w:r>
        <w:rPr/>
      </w:r>
    </w:p>
    <w:p>
      <w:pPr>
        <w:pStyle w:val="Normal"/>
        <w:rPr/>
      </w:pPr>
      <w:r>
        <w:rPr/>
        <w:tab/>
        <w:t>NOW, THEREFORE, in consideration of the foregoing and the mutual promises contained herein and other good and valuable consideration, the parties agree as follows:</w:t>
      </w:r>
    </w:p>
    <w:p>
      <w:pPr>
        <w:pStyle w:val="Normal"/>
        <w:rPr/>
      </w:pPr>
      <w:r>
        <w:rPr/>
      </w:r>
    </w:p>
    <w:p>
      <w:pPr>
        <w:pStyle w:val="Normal"/>
        <w:jc w:val="center"/>
        <w:rPr>
          <w:b/>
        </w:rPr>
      </w:pPr>
      <w:r>
        <w:rPr>
          <w:b/>
        </w:rPr>
        <w:t>AGREEMENT</w:t>
      </w:r>
    </w:p>
    <w:p>
      <w:pPr>
        <w:pStyle w:val="Normal"/>
        <w:rPr>
          <w:b/>
        </w:rPr>
      </w:pPr>
      <w:r>
        <w:rPr>
          <w:b/>
        </w:rPr>
      </w:r>
    </w:p>
    <w:p>
      <w:pPr>
        <w:pStyle w:val="Legal2L1"/>
        <w:numPr>
          <w:ilvl w:val="0"/>
          <w:numId w:val="14"/>
        </w:numPr>
        <w:ind w:hanging="0" w:start="0"/>
        <w:rPr/>
      </w:pPr>
      <w:bookmarkStart w:id="2" w:name="_Ref477327233"/>
      <w:r>
        <w:rPr>
          <w:b/>
        </w:rPr>
        <w:tab/>
      </w:r>
      <w:bookmarkStart w:id="3" w:name="_Ref503926739"/>
      <w:r>
        <w:rPr>
          <w:b/>
        </w:rPr>
        <w:t>DEFINITIONS.</w:t>
      </w:r>
      <w:r>
        <w:rPr/>
        <w:t xml:space="preserve">  For purposes of this Agreement, the following terms will have the indicated meanings:</w:t>
      </w:r>
      <w:bookmarkEnd w:id="2"/>
      <w:bookmarkEnd w:id="3"/>
    </w:p>
    <w:p>
      <w:pPr>
        <w:pStyle w:val="Legal2L2"/>
        <w:numPr>
          <w:ilvl w:val="1"/>
          <w:numId w:val="14"/>
        </w:numPr>
        <w:ind w:hanging="0" w:start="0"/>
        <w:rPr/>
      </w:pPr>
      <w:r>
        <w:rPr/>
        <w:t>“</w:t>
      </w:r>
      <w:r>
        <w:rPr>
          <w:u w:val="single"/>
        </w:rPr>
        <w:t>Closing Date</w:t>
      </w:r>
      <w:r>
        <w:rPr/>
        <w:t>” shall have the meaning set forth in the Contribution Agreement.</w:t>
      </w:r>
    </w:p>
    <w:p>
      <w:pPr>
        <w:pStyle w:val="Legal2L2"/>
        <w:numPr>
          <w:ilvl w:val="1"/>
          <w:numId w:val="14"/>
        </w:numPr>
        <w:ind w:hanging="0" w:start="0"/>
        <w:rPr/>
      </w:pPr>
      <w:r>
        <w:rPr/>
        <w:t>“</w:t>
      </w:r>
      <w:r>
        <w:rPr>
          <w:u w:val="single"/>
        </w:rPr>
        <w:t>Commercial Launch</w:t>
      </w:r>
      <w:r>
        <w:rPr/>
        <w:t>” shall mean the date an Internet web site is first available for access via an Internet browser or similar application other than for internal testing purposes.</w:t>
      </w:r>
    </w:p>
    <w:p>
      <w:pPr>
        <w:pStyle w:val="Legal2L2"/>
        <w:numPr>
          <w:ilvl w:val="1"/>
          <w:numId w:val="14"/>
        </w:numPr>
        <w:ind w:hanging="0" w:start="0"/>
        <w:rPr/>
      </w:pPr>
      <w:r>
        <w:rPr/>
        <w:t>“</w:t>
      </w:r>
      <w:r>
        <w:rPr>
          <w:u w:val="single"/>
        </w:rPr>
        <w:t>Documentation</w:t>
      </w:r>
      <w:r>
        <w:rPr/>
        <w:t>” shall mean all documentation, technical notes, specifications, technical manuals, schematics, user manuals, flow charts, diagrams, file descriptions and other data and information that describes the function and use of the Software available from Assignor up to the Closing Date.</w:t>
      </w:r>
    </w:p>
    <w:p>
      <w:pPr>
        <w:pStyle w:val="Legal2L2"/>
        <w:numPr>
          <w:ilvl w:val="1"/>
          <w:numId w:val="14"/>
        </w:numPr>
        <w:ind w:hanging="0" w:start="0"/>
        <w:rPr/>
      </w:pPr>
      <w:r>
        <w:rPr/>
        <w:t>“</w:t>
      </w:r>
      <w:r>
        <w:rPr>
          <w:u w:val="single"/>
        </w:rPr>
        <w:t>Intellectual Property</w:t>
      </w:r>
      <w:r>
        <w:rPr/>
        <w:t>” or “</w:t>
      </w:r>
      <w:r>
        <w:rPr>
          <w:u w:val="single"/>
        </w:rPr>
        <w:t>Intellectual Property Rights</w:t>
      </w:r>
      <w:r>
        <w:rPr/>
        <w:t>” shall mean any and all rights available with respect to the Software under patent, copyright or trade secret law.  Notwithstanding the foregoing, the patent law rights encompassed within “Intellectual Property” or “Intellectual Property Rights” shall mean any and all rights available with respect to (i) patents and patent applications set forth on Attachment I to Exhibit A hereto, as well as any reexaminations, extensions and reissues thereof and any divisionals, substitutions, continuations, continuations-in-part and any other applications or patents that claim priority from such patents and applications (collectively “</w:t>
      </w:r>
      <w:r>
        <w:rPr>
          <w:u w:val="single"/>
        </w:rPr>
        <w:t>Patents</w:t>
      </w:r>
      <w:r>
        <w:rPr/>
        <w:t>”) and (ii) trademarks and trademark applications set forth on Attachment I to Exhibit B hereto (collectively “</w:t>
      </w:r>
      <w:r>
        <w:rPr>
          <w:u w:val="single"/>
        </w:rPr>
        <w:t>Trademarks</w:t>
      </w:r>
      <w:r>
        <w:rPr/>
        <w:t>”).  Assignee hereby acknowledges and agrees that there are no registered copyrights with respect to the Software and Documentation.</w:t>
      </w:r>
    </w:p>
    <w:p>
      <w:pPr>
        <w:pStyle w:val="Legal2L2"/>
        <w:numPr>
          <w:ilvl w:val="1"/>
          <w:numId w:val="14"/>
        </w:numPr>
        <w:ind w:hanging="0" w:start="0"/>
        <w:rPr/>
      </w:pPr>
      <w:r>
        <w:rPr/>
        <w:t xml:space="preserve"> “</w:t>
      </w:r>
      <w:r>
        <w:rPr>
          <w:u w:val="single"/>
        </w:rPr>
        <w:t>Object Code</w:t>
      </w:r>
      <w:r>
        <w:rPr/>
        <w:t>” shall mean the form of the Software not readily readable by humans and suitable for machine execution without the intervening steps of interpretation or compilation.</w:t>
      </w:r>
    </w:p>
    <w:p>
      <w:pPr>
        <w:pStyle w:val="Legal2L2"/>
        <w:numPr>
          <w:ilvl w:val="1"/>
          <w:numId w:val="14"/>
        </w:numPr>
        <w:ind w:hanging="0" w:start="0"/>
        <w:rPr/>
      </w:pPr>
      <w:r>
        <w:rPr/>
        <w:t>“</w:t>
      </w:r>
      <w:r>
        <w:rPr>
          <w:u w:val="single"/>
        </w:rPr>
        <w:t>Software</w:t>
      </w:r>
      <w:r>
        <w:rPr/>
        <w:t>” shall mean the software listed in Exhibit C.</w:t>
      </w:r>
    </w:p>
    <w:p>
      <w:pPr>
        <w:pStyle w:val="Legal2L2"/>
        <w:numPr>
          <w:ilvl w:val="1"/>
          <w:numId w:val="14"/>
        </w:numPr>
        <w:ind w:hanging="0" w:start="0"/>
        <w:rPr/>
      </w:pPr>
      <w:r>
        <w:rPr/>
        <w:t>“</w:t>
      </w:r>
      <w:r>
        <w:rPr>
          <w:u w:val="single"/>
        </w:rPr>
        <w:t>Source Code</w:t>
      </w:r>
      <w:r>
        <w:rPr/>
        <w:t>” shall mean the form of the Software written in a humanly-readable programming language, in a form intelligible to trained programmers and capable of being translated into object code for machine execution through intervening steps of interpretation or compilation.</w:t>
      </w:r>
    </w:p>
    <w:p>
      <w:pPr>
        <w:pStyle w:val="Legal2L1"/>
        <w:numPr>
          <w:ilvl w:val="0"/>
          <w:numId w:val="14"/>
        </w:numPr>
        <w:ind w:hanging="0" w:start="0"/>
        <w:rPr/>
      </w:pPr>
      <w:r>
        <w:rPr>
          <w:b/>
        </w:rPr>
        <w:tab/>
        <w:t>ASSIGNMENT.</w:t>
      </w:r>
    </w:p>
    <w:p>
      <w:pPr>
        <w:pStyle w:val="Legal2L2"/>
        <w:numPr>
          <w:ilvl w:val="1"/>
          <w:numId w:val="14"/>
        </w:numPr>
        <w:ind w:hanging="0" w:start="0"/>
        <w:rPr/>
      </w:pPr>
      <w:bookmarkStart w:id="4" w:name="_Ref503955175"/>
      <w:r>
        <w:rPr>
          <w:u w:val="single"/>
        </w:rPr>
        <w:t>Assignment</w:t>
      </w:r>
      <w:r>
        <w:rPr/>
        <w:t xml:space="preserve">.  Subject to the terms and conditions of this Agreement and effective upon the Closing Date, Assignor hereby assigns, sells, transfers </w:t>
      </w:r>
      <w:r>
        <w:rPr>
          <w:rFonts w:eastAsia="‚l‚r –¾’©;MS Gothic"/>
        </w:rPr>
        <w:t>and</w:t>
      </w:r>
      <w:r>
        <w:rPr/>
        <w:t xml:space="preserve"> conveys to Assignee all of its rights, title and interest in and to:</w:t>
      </w:r>
    </w:p>
    <w:p>
      <w:pPr>
        <w:pStyle w:val="Legal2L3"/>
        <w:numPr>
          <w:ilvl w:val="2"/>
          <w:numId w:val="14"/>
        </w:numPr>
        <w:ind w:hanging="0" w:start="0"/>
        <w:rPr/>
      </w:pPr>
      <w:r>
        <w:rPr/>
        <w:t>the Software, in both Source Code and Object Code forms,</w:t>
      </w:r>
    </w:p>
    <w:p>
      <w:pPr>
        <w:pStyle w:val="Legal2L3"/>
        <w:numPr>
          <w:ilvl w:val="2"/>
          <w:numId w:val="14"/>
        </w:numPr>
        <w:ind w:hanging="0" w:start="0"/>
        <w:rPr/>
      </w:pPr>
      <w:bookmarkStart w:id="5" w:name="_Ref503955175"/>
      <w:r>
        <w:rPr/>
        <w:t>all Intellectual Property Rights of Assignor</w:t>
      </w:r>
      <w:bookmarkStart w:id="6" w:name="_Ref503955183"/>
      <w:bookmarkEnd w:id="5"/>
      <w:r>
        <w:rPr/>
        <w:t xml:space="preserve">, and </w:t>
      </w:r>
    </w:p>
    <w:p>
      <w:pPr>
        <w:pStyle w:val="Legal2L3"/>
        <w:numPr>
          <w:ilvl w:val="2"/>
          <w:numId w:val="14"/>
        </w:numPr>
        <w:ind w:hanging="0" w:start="0"/>
        <w:rPr/>
      </w:pPr>
      <w:r>
        <w:rPr/>
        <w:t>with respect to the Trademarks, the goodwill of the business symbolized by the Trademarks.</w:t>
      </w:r>
    </w:p>
    <w:p>
      <w:pPr>
        <w:pStyle w:val="Legal2L2"/>
        <w:numPr>
          <w:ilvl w:val="1"/>
          <w:numId w:val="14"/>
        </w:numPr>
        <w:ind w:hanging="0" w:start="0"/>
        <w:rPr/>
      </w:pPr>
      <w:r>
        <w:rPr>
          <w:u w:val="single"/>
        </w:rPr>
        <w:t>Delivery</w:t>
      </w:r>
      <w:r>
        <w:rPr/>
        <w:t>.  Within three business days after the Closing Date, Assignor will deliver to Assignee one tangible copy or embodiment of the Source Code and Object Code forms of the Software.</w:t>
      </w:r>
      <w:bookmarkEnd w:id="6"/>
    </w:p>
    <w:p>
      <w:pPr>
        <w:pStyle w:val="Legal2L2"/>
        <w:numPr>
          <w:ilvl w:val="1"/>
          <w:numId w:val="14"/>
        </w:numPr>
        <w:ind w:hanging="0" w:start="0"/>
        <w:rPr/>
      </w:pPr>
      <w:r>
        <w:rPr>
          <w:u w:val="single"/>
        </w:rPr>
        <w:t>Retained Copies</w:t>
      </w:r>
      <w:r>
        <w:rPr/>
        <w:t>.  Assignor shall be entitled to retain all copies and embodiments of all of the Source Code and Object Code forms of the Software and Documentation in its possession except the copies delivered to Assignee pursuant to Section 2.2 above</w:t>
      </w:r>
    </w:p>
    <w:p>
      <w:pPr>
        <w:pStyle w:val="Legal2L2"/>
        <w:numPr>
          <w:ilvl w:val="0"/>
          <w:numId w:val="0"/>
        </w:numPr>
        <w:ind w:firstLine="720" w:start="0" w:end="0"/>
        <w:rPr>
          <w:b/>
          <w:i/>
          <w:i/>
        </w:rPr>
      </w:pPr>
      <w:r>
        <w:rPr/>
        <w:t>2.4</w:t>
        <w:tab/>
      </w:r>
      <w:r>
        <w:rPr>
          <w:u w:val="single"/>
        </w:rPr>
        <w:t>Closure of Assignee</w:t>
      </w:r>
      <w:r>
        <w:rPr/>
        <w:t>.  In the event that Assignee ceases operations, ceases to do business in the normal course, winds down, otherwise terminates or suspends its business, Assignee shall assign to Assignor all of its rights, title and interest (including all Intellectual Property Rights) in and to the Software, Documentation and all Improvements made by or on behalf of Assignee without payment of any further consideration by Assignor.  In the event that Assignee does not execute a separate assignment to Assignor in accordance with this provision, Assignee hereby gives Assignor a power of attorney to do so on its behalf.</w:t>
      </w:r>
    </w:p>
    <w:p>
      <w:pPr>
        <w:pStyle w:val="Legal2L1"/>
        <w:keepNext w:val="true"/>
        <w:numPr>
          <w:ilvl w:val="0"/>
          <w:numId w:val="14"/>
        </w:numPr>
        <w:ind w:hanging="0" w:start="0"/>
        <w:rPr/>
      </w:pPr>
      <w:r>
        <w:rPr>
          <w:b/>
        </w:rPr>
        <w:tab/>
      </w:r>
      <w:bookmarkStart w:id="7" w:name="_Ref482008655"/>
      <w:r>
        <w:rPr>
          <w:b/>
        </w:rPr>
        <w:t>LICENSES BACK AND SUPPORT.</w:t>
      </w:r>
      <w:bookmarkEnd w:id="7"/>
    </w:p>
    <w:p>
      <w:pPr>
        <w:pStyle w:val="Legal2L2"/>
        <w:numPr>
          <w:ilvl w:val="1"/>
          <w:numId w:val="14"/>
        </w:numPr>
        <w:ind w:hanging="0" w:start="0"/>
        <w:rPr/>
      </w:pPr>
      <w:bookmarkStart w:id="8" w:name="_Ref503851804"/>
      <w:bookmarkStart w:id="9" w:name="_Ref482008502"/>
      <w:bookmarkEnd w:id="8"/>
      <w:bookmarkEnd w:id="9"/>
      <w:r>
        <w:rPr>
          <w:u w:val="single"/>
        </w:rPr>
        <w:t>License Back of Object Code, Source Code and Intellectual Property</w:t>
      </w:r>
      <w:r>
        <w:rPr/>
        <w:t>.  Subject to the terms and conditions of this Agreement and effective upon the Closing Date, Assignee hereby grants to Assignor and its affiliates a worldwide, perpetual, irrevocable, nonexclusive, fully paid-up, royalty-free license for any purpose and within all fields of use to:</w:t>
      </w:r>
    </w:p>
    <w:p>
      <w:pPr>
        <w:pStyle w:val="Legal2L3"/>
        <w:numPr>
          <w:ilvl w:val="2"/>
          <w:numId w:val="14"/>
        </w:numPr>
        <w:ind w:hanging="0" w:start="0"/>
        <w:rPr/>
      </w:pPr>
      <w:r>
        <w:rPr/>
        <w:t>use, copy, display, perform, distribute, sublicense and create derivative works of the Source Code and Object Code forms of the Software; provided, however, that Assignor shall not have the right to grant any sublicense to any third party for use within the field of wholesale trading of natural gas (other than liquified natural gas) and electricity within North America, and</w:t>
      </w:r>
    </w:p>
    <w:p>
      <w:pPr>
        <w:pStyle w:val="Legal2L3"/>
        <w:numPr>
          <w:ilvl w:val="2"/>
          <w:numId w:val="14"/>
        </w:numPr>
        <w:ind w:hanging="0" w:start="0"/>
        <w:rPr/>
      </w:pPr>
      <w:r>
        <w:rPr/>
        <w:t xml:space="preserve">make, have made, use, sell, offer for sale, research, develop, market, distribute, sublicense, import or otherwise exploit products, processes and services covered by the Patents. </w:t>
      </w:r>
    </w:p>
    <w:p>
      <w:pPr>
        <w:pStyle w:val="Legal2L2"/>
        <w:numPr>
          <w:ilvl w:val="1"/>
          <w:numId w:val="14"/>
        </w:numPr>
        <w:ind w:hanging="0" w:start="0"/>
        <w:rPr/>
      </w:pPr>
      <w:bookmarkStart w:id="10" w:name="_Ref503851804"/>
      <w:bookmarkEnd w:id="10"/>
      <w:r>
        <w:rPr>
          <w:u w:val="single"/>
        </w:rPr>
        <w:t>Enrononline.com</w:t>
      </w:r>
      <w:r>
        <w:rPr/>
        <w:t>.  Subject to Assignee’s compliance with all obligations hereunder, Assignor, for a period [equal to the lesser] of sixty (60) days following Commercial Launch of the Assignee Site (as defined below) [or ninety (90) days following the Closing Date](the “</w:t>
      </w:r>
      <w:r>
        <w:rPr>
          <w:u w:val="single"/>
        </w:rPr>
        <w:t>Redirect Period</w:t>
      </w:r>
      <w:r>
        <w:rPr/>
        <w:t xml:space="preserve">”), shall redirect Internet traffic linking to the domain names </w:t>
      </w:r>
      <w:hyperlink r:id="rId2">
        <w:r>
          <w:rPr>
            <w:rStyle w:val="Hyperlink"/>
          </w:rPr>
          <w:t>www.enrononline.com</w:t>
        </w:r>
      </w:hyperlink>
      <w:r>
        <w:rPr/>
        <w:t xml:space="preserve">, </w:t>
      </w:r>
      <w:hyperlink r:id="rId3">
        <w:r>
          <w:rPr>
            <w:rStyle w:val="Hyperlink"/>
          </w:rPr>
          <w:t>www.enronline.net, www.enrononline.net</w:t>
        </w:r>
      </w:hyperlink>
      <w:r>
        <w:rPr/>
        <w:t xml:space="preserve"> (collectively “</w:t>
      </w:r>
      <w:r>
        <w:rPr>
          <w:u w:val="single"/>
        </w:rPr>
        <w:t>Assignor Sites</w:t>
      </w:r>
      <w:r>
        <w:rPr/>
        <w:t>”) to a single web site reasonably designated in writing by Assignee and reasonably acceptable to Assignee (“</w:t>
      </w:r>
      <w:r>
        <w:rPr>
          <w:u w:val="single"/>
        </w:rPr>
        <w:t>Assignee Site</w:t>
      </w:r>
      <w:r>
        <w:rPr/>
        <w:t>”).  For a period of one hundred twenty (120) days following expiration of the Redirect Period, Assignor shall include in that portion of the initial page of the Assignor Sites a banner that is visible to a visitor to such Assignor Site for at least one hundred and twenty (120) seconds (unless such visitor elects to be directed to another page or location on the initial page) and mutually acceptable to the parties (but in no case of a size less than __ pixels by ___ pixels) that, when selected by the visitor, will link such visitor to the Assignee Site.</w:t>
      </w:r>
    </w:p>
    <w:p>
      <w:pPr>
        <w:pStyle w:val="Legal2L2"/>
        <w:numPr>
          <w:ilvl w:val="1"/>
          <w:numId w:val="14"/>
        </w:numPr>
        <w:ind w:hanging="0" w:start="0"/>
        <w:rPr/>
      </w:pPr>
      <w:r>
        <w:rPr>
          <w:u w:val="single"/>
        </w:rPr>
        <w:t>Assignee Site</w:t>
      </w:r>
      <w:r>
        <w:rPr/>
        <w:t>.  During all times that Assignor redirects traffic to the Assignee Site or is obligated to display an Assignee banner pursuant to the foregoing subsection, Assignee shall include in that portion of the initial page of the Assignee Site a banner that is visible to a visitor to the Assignee Site for at least one hundred and twenty (120) seconds (unless such visitor elects to be directed to another page or location on the initial page) and mutually acceptable to the parties (but in no case of a size less than __ pixels by ___ pixels) that, when selected by the visitor, will link such visitor to the Assignor Site designated in writing by Assignor.</w:t>
      </w:r>
    </w:p>
    <w:p>
      <w:pPr>
        <w:pStyle w:val="Legal2L2"/>
        <w:numPr>
          <w:ilvl w:val="1"/>
          <w:numId w:val="14"/>
        </w:numPr>
        <w:ind w:hanging="0" w:start="0"/>
        <w:rPr/>
      </w:pPr>
      <w:bookmarkStart w:id="11" w:name="_Ref482008502"/>
      <w:bookmarkStart w:id="12" w:name="_Ref504271015"/>
      <w:bookmarkEnd w:id="11"/>
      <w:r>
        <w:rPr>
          <w:u w:val="single"/>
        </w:rPr>
        <w:t>Support</w:t>
      </w:r>
      <w:r>
        <w:rPr/>
        <w:t>.</w:t>
      </w:r>
      <w:bookmarkEnd w:id="12"/>
      <w:r>
        <w:rPr/>
        <w:t xml:space="preserve">  Nothing herein shall create any obligation for either party to provide the other party any ongoing support or maintenance with respect to the Software, and each party will be solely responsible for supporting its own copy of the Software and any Improvements created by or on behalf of such party.</w:t>
      </w:r>
      <w:bookmarkEnd w:id="0"/>
      <w:bookmarkEnd w:id="1"/>
    </w:p>
    <w:p>
      <w:pPr>
        <w:pStyle w:val="Legal2L1"/>
        <w:keepNext w:val="true"/>
        <w:numPr>
          <w:ilvl w:val="0"/>
          <w:numId w:val="14"/>
        </w:numPr>
        <w:ind w:hanging="0" w:start="0"/>
        <w:rPr/>
      </w:pPr>
      <w:bookmarkStart w:id="13" w:name="_Ref503926750"/>
      <w:r>
        <w:rPr>
          <w:b/>
        </w:rPr>
        <w:tab/>
        <w:t>FURTHER ASSURANCES; RESTRICTIONS AND LIMITATION OF RIGHTS.</w:t>
      </w:r>
      <w:bookmarkEnd w:id="13"/>
    </w:p>
    <w:p>
      <w:pPr>
        <w:pStyle w:val="Legal2L2"/>
        <w:numPr>
          <w:ilvl w:val="1"/>
          <w:numId w:val="14"/>
        </w:numPr>
        <w:ind w:hanging="0" w:start="0"/>
        <w:rPr/>
      </w:pPr>
      <w:bookmarkStart w:id="14" w:name="_Ref493939486"/>
      <w:r>
        <w:rPr>
          <w:u w:val="single"/>
        </w:rPr>
        <w:t>Further Assurances</w:t>
      </w:r>
      <w:r>
        <w:rPr/>
        <w:t>.  Each party shall take any action or execute any necessary documents as may be reasonably requested by the other party from time to time to fully vest, record and perfect the applicable party’s rights or assignments granted hereunder to such party, including, without limitation, providing documents and information necessary to prosecute any application or to register or maintain any assigned Intellectual Property.</w:t>
      </w:r>
      <w:bookmarkEnd w:id="14"/>
      <w:r>
        <w:rPr/>
        <w:t xml:space="preserve">  Any actions taken by a party as a result of a request pursuant to this subsection shall be at the expense of the requesting party.</w:t>
      </w:r>
    </w:p>
    <w:p>
      <w:pPr>
        <w:pStyle w:val="Legal2L2"/>
        <w:numPr>
          <w:ilvl w:val="1"/>
          <w:numId w:val="14"/>
        </w:numPr>
        <w:ind w:hanging="0" w:start="0"/>
        <w:rPr/>
      </w:pPr>
      <w:r>
        <w:rPr>
          <w:u w:val="single"/>
        </w:rPr>
        <w:t>Recordation</w:t>
      </w:r>
      <w:r>
        <w:rPr/>
        <w:t>.  Upon the request of Assignee, (i) Enron Net Works L.L.C. (or Enron Corp. on Enron Net Works L.L.C.’s behalf) shall execute the assignment attached hereto as Exhibit A for purposes of recordation by Assignee of the patent assignment set forth herein and (ii) Enron Corp. shall execute the assignment attached hereto as Exhibit A for purposes of recordation by Assignee of the trademark assignment set forth herein.</w:t>
      </w:r>
    </w:p>
    <w:p>
      <w:pPr>
        <w:pStyle w:val="Legal2L2"/>
        <w:numPr>
          <w:ilvl w:val="1"/>
          <w:numId w:val="14"/>
        </w:numPr>
        <w:ind w:hanging="0" w:start="0"/>
        <w:rPr/>
      </w:pPr>
      <w:bookmarkStart w:id="15" w:name="_Ref500913231"/>
      <w:bookmarkStart w:id="16" w:name="_Ref466198676"/>
      <w:r>
        <w:rPr>
          <w:u w:val="single"/>
        </w:rPr>
        <w:t>Limitation of Rights</w:t>
      </w:r>
      <w:r>
        <w:rPr/>
        <w:t>.  Each party will retain all rights, title and interest it possessed prior to the Closing Date in and to any intellectual property not included within the Intellectual Property Rights.</w:t>
      </w:r>
      <w:bookmarkEnd w:id="16"/>
      <w:r>
        <w:rPr/>
        <w:t xml:space="preserve">  To the extent any party modifies, improves, creates derivative works of or enhances the Software or Documentation (“</w:t>
      </w:r>
      <w:r>
        <w:rPr>
          <w:u w:val="single"/>
        </w:rPr>
        <w:t>Improvements</w:t>
      </w:r>
      <w:r>
        <w:rPr/>
        <w:t>”), such party shall own all right, title and interest in and to such Improvements (including all intellectual property rights), subject to Assignee’s ownership interests in the Intellectual Property.  Except as otherwise expressly provided hereunder, nothing in this Agreement is intended to grant a party any rights under any intellectual property of the other party.</w:t>
      </w:r>
      <w:bookmarkEnd w:id="15"/>
    </w:p>
    <w:p>
      <w:pPr>
        <w:pStyle w:val="Legal2L2"/>
        <w:numPr>
          <w:ilvl w:val="1"/>
          <w:numId w:val="14"/>
        </w:numPr>
        <w:ind w:hanging="0" w:start="0"/>
        <w:rPr/>
      </w:pPr>
      <w:r>
        <w:rPr>
          <w:u w:val="single"/>
        </w:rPr>
        <w:t>Restrictions on Assignment and Licensing</w:t>
      </w:r>
      <w:r>
        <w:rPr/>
        <w:t>.  Notwithstanding anything else in this Agreement, for as long as Assignor holds a partnership interest in Assignee of greater than twenty percent (20%), Assignee shall not (i) assign or license any rights with respect to the Software to any third party [except end users accessing the system via the Assignee Site] [</w:t>
      </w:r>
      <w:r>
        <w:rPr>
          <w:b/>
          <w:i/>
        </w:rPr>
        <w:t>Lance</w:t>
      </w:r>
      <w:r>
        <w:rPr/>
        <w:t>: I added the preceding bracketed phrase because after I added your suggestion, it seemed to me that we would be prohibiting users from using Netco’s system from the Internet.] or (ii) use or allow others to use the Software for trading coal, steel, pulp, paper, [Insert additional commodities] (“</w:t>
      </w:r>
      <w:r>
        <w:rPr>
          <w:u w:val="single"/>
        </w:rPr>
        <w:t>Prohibited Commodities</w:t>
      </w:r>
      <w:r>
        <w:rPr/>
        <w:t>”).  Notwithstanding (i) above, Assignee may license to its affiliates the right to use the Software regardless of Assignor’s partnership interest; provided, however, that such use shall exclude trading the Prohibited Commodities for as long as Assignor holds a partnership interest in Assignee of greater than twenty percent (20%).</w:t>
      </w:r>
    </w:p>
    <w:p>
      <w:pPr>
        <w:pStyle w:val="Legal2L2"/>
        <w:numPr>
          <w:ilvl w:val="1"/>
          <w:numId w:val="14"/>
        </w:numPr>
        <w:ind w:hanging="0" w:start="0"/>
        <w:rPr/>
      </w:pPr>
      <w:r>
        <w:rPr>
          <w:u w:val="single"/>
        </w:rPr>
        <w:t>Marketing</w:t>
      </w:r>
      <w:r>
        <w:rPr/>
        <w:t>.  Assignee may use the terms “Enron,” “Enrononline,” “Enrononline.com” and [the Enron logo] factually for a period of one hundred and eighty (180) days following the Closing Date solely for the purpose of marketing the Assignee Site as a platform for wholesale gas and power trading in North America.  The foregoing shall not be construed as a license to any Enron trademark, trade name or logo.</w:t>
      </w:r>
    </w:p>
    <w:p>
      <w:pPr>
        <w:pStyle w:val="Legal2L2"/>
        <w:numPr>
          <w:ilvl w:val="1"/>
          <w:numId w:val="14"/>
        </w:numPr>
        <w:ind w:hanging="0" w:start="0"/>
        <w:rPr/>
      </w:pPr>
      <w:bookmarkStart w:id="17" w:name="_Ref477271509"/>
      <w:r>
        <w:rPr>
          <w:rFonts w:eastAsia="‚l‚r –¾’©;MS Gothic"/>
          <w:u w:val="single"/>
        </w:rPr>
        <w:t>Source Code</w:t>
      </w:r>
      <w:r>
        <w:rPr>
          <w:rFonts w:eastAsia="‚l‚r –¾’©;MS Gothic"/>
        </w:rPr>
        <w:t xml:space="preserve">.  Except as otherwise required by law, rule or regulation, Assignor agrees to treat the Source Code form of the Software in strict confidence and to not disclose any such Source Code to any third party other than an affiliate or valid licensee except </w:t>
      </w:r>
      <w:bookmarkEnd w:id="17"/>
      <w:r>
        <w:rPr>
          <w:rFonts w:eastAsia="‚l‚r –¾’©;MS Gothic"/>
        </w:rPr>
        <w:t>for purposes of exercising the licenses granted hereunder and only after such third party has agreed in writing to all applicable restrictions set forth herein including, without limitation, agreeing to treat such Source Code in strict confidence.</w:t>
      </w:r>
    </w:p>
    <w:p>
      <w:pPr>
        <w:pStyle w:val="NumContinue"/>
        <w:rPr/>
      </w:pPr>
      <w:r>
        <w:rPr/>
      </w:r>
    </w:p>
    <w:p>
      <w:pPr>
        <w:pStyle w:val="Legal2L1"/>
        <w:numPr>
          <w:ilvl w:val="0"/>
          <w:numId w:val="14"/>
        </w:numPr>
        <w:ind w:hanging="0" w:start="0"/>
        <w:rPr/>
      </w:pPr>
      <w:r>
        <w:rPr>
          <w:b/>
        </w:rPr>
        <w:tab/>
      </w:r>
      <w:bookmarkStart w:id="18" w:name="_Ref482163290"/>
      <w:r>
        <w:rPr>
          <w:b/>
        </w:rPr>
        <w:t>TERM AND TERMINATION.</w:t>
      </w:r>
      <w:bookmarkEnd w:id="18"/>
    </w:p>
    <w:p>
      <w:pPr>
        <w:pStyle w:val="Legal2L2"/>
        <w:numPr>
          <w:ilvl w:val="1"/>
          <w:numId w:val="14"/>
        </w:numPr>
        <w:ind w:hanging="0" w:start="0"/>
        <w:rPr/>
      </w:pPr>
      <w:r>
        <w:rPr>
          <w:u w:val="single"/>
        </w:rPr>
        <w:t>Term</w:t>
      </w:r>
      <w:r>
        <w:rPr/>
        <w:t>.  The term of this Agreement shall commence on the Closing Date and shall continue in perpetuity, unless terminated as provided herein.</w:t>
      </w:r>
    </w:p>
    <w:p>
      <w:pPr>
        <w:pStyle w:val="Legal2L2"/>
        <w:numPr>
          <w:ilvl w:val="1"/>
          <w:numId w:val="14"/>
        </w:numPr>
        <w:ind w:hanging="0" w:start="0"/>
        <w:rPr>
          <w:rFonts w:eastAsia="‚l‚r –¾’©;MS Gothic"/>
        </w:rPr>
      </w:pPr>
      <w:bookmarkStart w:id="19" w:name="_Ref482693530"/>
      <w:bookmarkStart w:id="20" w:name="_Ref466371451"/>
      <w:r>
        <w:rPr>
          <w:rFonts w:eastAsia="‚l‚r –¾’©;MS Gothic"/>
          <w:u w:val="single"/>
        </w:rPr>
        <w:t>Termination for Cause</w:t>
      </w:r>
      <w:r>
        <w:rPr>
          <w:rFonts w:eastAsia="‚l‚r –¾’©;MS Gothic"/>
        </w:rPr>
        <w:t xml:space="preserve">.  A party may terminate this Agreement upon written notice </w:t>
      </w:r>
      <w:bookmarkEnd w:id="20"/>
      <w:r>
        <w:rPr>
          <w:rFonts w:eastAsia="‚l‚r –¾’©;MS Gothic"/>
        </w:rPr>
        <w:t xml:space="preserve">if the other party materially breaches a material provision of this Agreement and does not cure such breach </w:t>
      </w:r>
      <w:r>
        <w:rPr/>
        <w:t>within</w:t>
      </w:r>
      <w:r>
        <w:rPr>
          <w:rFonts w:eastAsia="‚l‚r –¾’©;MS Gothic"/>
        </w:rPr>
        <w:t xml:space="preserve"> ninety (90) days after receiving written notice from the non-breaching party describing such breach</w:t>
      </w:r>
      <w:bookmarkEnd w:id="19"/>
      <w:r>
        <w:rPr>
          <w:rFonts w:eastAsia="‚l‚r –¾’©;MS Gothic"/>
        </w:rPr>
        <w:t>.</w:t>
      </w:r>
    </w:p>
    <w:p>
      <w:pPr>
        <w:pStyle w:val="Legal2L2"/>
        <w:numPr>
          <w:ilvl w:val="1"/>
          <w:numId w:val="14"/>
        </w:numPr>
        <w:ind w:hanging="0" w:start="0"/>
        <w:rPr/>
      </w:pPr>
      <w:bookmarkStart w:id="21" w:name="_Ref503926754"/>
      <w:bookmarkStart w:id="22" w:name="_Ref476649734"/>
      <w:bookmarkStart w:id="23" w:name="_Ref466371575"/>
      <w:r>
        <w:rPr>
          <w:u w:val="single"/>
        </w:rPr>
        <w:t>Effect of Termination</w:t>
      </w:r>
      <w:r>
        <w:rPr/>
        <w:t xml:space="preserve">.  In the event this Agreement is terminated, Sections 1, 2.4, 3, 4.3, 4.4, 4.6, 5.3 and Sections 6 through 8 shall </w:t>
      </w:r>
      <w:r>
        <w:rPr>
          <w:rFonts w:eastAsia="‚l‚r –¾’©;MS Gothic"/>
        </w:rPr>
        <w:t>continue in effect, subject to the terms of this Agreement</w:t>
      </w:r>
      <w:bookmarkEnd w:id="21"/>
      <w:bookmarkEnd w:id="22"/>
      <w:bookmarkEnd w:id="23"/>
      <w:r>
        <w:rPr>
          <w:rFonts w:eastAsia="‚l‚r –¾’©;MS Gothic"/>
        </w:rPr>
        <w:t>.</w:t>
      </w:r>
    </w:p>
    <w:p>
      <w:pPr>
        <w:pStyle w:val="Legal2L1"/>
        <w:keepNext w:val="true"/>
        <w:numPr>
          <w:ilvl w:val="0"/>
          <w:numId w:val="14"/>
        </w:numPr>
        <w:ind w:hanging="0" w:start="0"/>
        <w:rPr/>
      </w:pPr>
      <w:bookmarkStart w:id="24" w:name="_Ref477661306"/>
      <w:bookmarkEnd w:id="24"/>
      <w:r>
        <w:rPr>
          <w:b/>
        </w:rPr>
        <w:t>DISCLAIMER AND LIMITATIONS.</w:t>
      </w:r>
    </w:p>
    <w:p>
      <w:pPr>
        <w:pStyle w:val="Legal2L2"/>
        <w:numPr>
          <w:ilvl w:val="1"/>
          <w:numId w:val="14"/>
        </w:numPr>
        <w:ind w:hanging="0" w:start="0"/>
        <w:rPr>
          <w:b/>
          <w:i/>
          <w:i/>
        </w:rPr>
      </w:pPr>
      <w:r>
        <w:rPr>
          <w:u w:val="single"/>
        </w:rPr>
        <w:t>Disclaimer of Warranties</w:t>
      </w:r>
      <w:r>
        <w:rPr/>
        <w:t>.  ASSIGNOR AND ASSIGNEE MAKE NO WARRANTIES WITH RESPECT TO THE INTELLECTUAL PROPERTY, SOFTWARE AND DOCUMENTATION OR THIS AGREEMENT AND EACH EXPRESSLY DISCLAIMS ALL WARRANTIES, EXPRESS, IMPLIED, STATUTORY OR OTHERWISE, INCLUDING, WITHOUT LIMITATION, ANY IMPLIED WARRANTIES OF MERCHANTABILITY, FITNESS FOR A PARTICULAR PURPOSE AND NONINFRINGEMENT.</w:t>
      </w:r>
    </w:p>
    <w:p>
      <w:pPr>
        <w:pStyle w:val="Legal2L2"/>
        <w:numPr>
          <w:ilvl w:val="1"/>
          <w:numId w:val="14"/>
        </w:numPr>
        <w:ind w:hanging="0" w:start="0"/>
        <w:rPr>
          <w:rFonts w:eastAsia="‚l‚r –¾’©;MS Gothic"/>
        </w:rPr>
      </w:pPr>
      <w:bookmarkStart w:id="25" w:name="_Ref477661306"/>
      <w:bookmarkStart w:id="26" w:name="_Ref503926765"/>
      <w:bookmarkStart w:id="27" w:name="_Ref477327255"/>
      <w:bookmarkEnd w:id="25"/>
      <w:r>
        <w:rPr>
          <w:u w:val="single"/>
        </w:rPr>
        <w:t>Limitation of Liability</w:t>
      </w:r>
      <w:r>
        <w:rPr/>
        <w:t>.</w:t>
      </w:r>
      <w:bookmarkEnd w:id="26"/>
      <w:bookmarkEnd w:id="27"/>
      <w:r>
        <w:rPr/>
        <w:t xml:space="preserve">  NOTWITHSTANDING</w:t>
      </w:r>
      <w:r>
        <w:rPr>
          <w:rFonts w:eastAsia="‚l‚r –¾’©;MS Gothic"/>
        </w:rPr>
        <w:t xml:space="preserve"> ANYTHING ELSE IN THIS AGREEMENT OR OTHERWISE,  NEITHER PARTY SHALL BE LIABLE TO THE OTHER PARTY OR TO ANY OTHER PERSON OR ENTITY WITH RESPECT TO ANY SUBJECT MATTER OF THIS AGREEMENT, UNDER ANY EQUITY, COMMON LAW, TORT, CONTRACT, ESTOPPEL, NEGLIGENCE, STRICT LIABILITY OR OTHER THEORY, FOR ANY (A) INCIDENTAL, SPECIAL, PUNITIVE, CONSEQUENTIAL OR INDIRECT DAMAGES, (B) DAMAGES RESULTING FROM LOSS OF SALE, BUSINESS, PROFITS, OPPORTUNITY OR GOODWILL, (C) DAMAGES RESULTING FROM LOST OR CORRUPTED DATA OR CONTENT, OR (D) COST OF PROCUREMENT OF SUBSTITUTE GOODS, TECHNOLOGY OR SERVICES, EVEN IF THE REMEDIES PROVIDED FOR IN THIS AGREEMENT FAIL OF THEIR ESSENTIAL PURPOSE AND EVEN IF EITHER PARTY HAS BEEN ADVISED OF THE POSSIBILITY OF ANY OF THE FOREGOING DAMAGES.</w:t>
      </w:r>
    </w:p>
    <w:p>
      <w:pPr>
        <w:pStyle w:val="Legal2L1"/>
        <w:keepNext w:val="true"/>
        <w:numPr>
          <w:ilvl w:val="0"/>
          <w:numId w:val="14"/>
        </w:numPr>
        <w:ind w:hanging="0" w:start="0"/>
        <w:rPr/>
      </w:pPr>
      <w:bookmarkStart w:id="28" w:name="_Ref477327257"/>
      <w:r>
        <w:rPr>
          <w:b/>
        </w:rPr>
        <w:tab/>
      </w:r>
      <w:bookmarkStart w:id="29" w:name="_Ref503926767"/>
      <w:r>
        <w:rPr>
          <w:b/>
        </w:rPr>
        <w:t>MISCELLANEOUS.</w:t>
      </w:r>
      <w:bookmarkEnd w:id="28"/>
      <w:bookmarkEnd w:id="29"/>
    </w:p>
    <w:p>
      <w:pPr>
        <w:pStyle w:val="Legal2L2"/>
        <w:numPr>
          <w:ilvl w:val="1"/>
          <w:numId w:val="14"/>
        </w:numPr>
        <w:ind w:hanging="0" w:start="0"/>
        <w:rPr/>
      </w:pPr>
      <w:r>
        <w:rPr>
          <w:u w:val="single"/>
        </w:rPr>
        <w:t>Amendments and Waivers</w:t>
      </w:r>
      <w:r>
        <w:rPr/>
        <w:t xml:space="preserve">.  No modification, amendment or waiver of any provision of, or consent required by, this Agreement, nor any consent to any departure herefrom, shall be effective unless it is in writing and, with respect to a modification or amendment, signed by each of the parties hereto or with respect to a waiver signed by the party waiving the provision or provisions hereunder.  </w:t>
      </w:r>
    </w:p>
    <w:p>
      <w:pPr>
        <w:pStyle w:val="Legal2L2"/>
        <w:numPr>
          <w:ilvl w:val="1"/>
          <w:numId w:val="14"/>
        </w:numPr>
        <w:ind w:hanging="0" w:start="0"/>
        <w:rPr>
          <w:rFonts w:eastAsia="‚l‚r –¾’©;MS Gothic"/>
        </w:rPr>
      </w:pPr>
      <w:r>
        <w:rPr>
          <w:u w:val="single"/>
        </w:rPr>
        <w:t>Assignment</w:t>
      </w:r>
      <w:r>
        <w:rPr/>
        <w:t xml:space="preserve">.  Except as expressly set forth herein, a party may not assign its rights or delegate its obligations under this Agreement without the prior written consent of the other party, except to the surviving entity in a merger or consolidation in which it participates or to a successor of all or substantially all of the assigning party’s stock, assets or business to which this Agreement relates. </w:t>
      </w:r>
      <w:r>
        <w:rPr>
          <w:b/>
          <w:i/>
        </w:rPr>
        <w:t xml:space="preserve"> </w:t>
      </w:r>
      <w:r>
        <w:rPr>
          <w:rFonts w:eastAsia="‚l‚r –¾’©;MS Gothic"/>
        </w:rPr>
        <w:t>Subject to the foregoing, the rights and liabilities of the parties will bind and inure to the benefit of their respective successors and assigns.</w:t>
      </w:r>
    </w:p>
    <w:p>
      <w:pPr>
        <w:pStyle w:val="Legal2L2"/>
        <w:numPr>
          <w:ilvl w:val="1"/>
          <w:numId w:val="14"/>
        </w:numPr>
        <w:ind w:hanging="0" w:start="0"/>
        <w:rPr/>
      </w:pPr>
      <w:r>
        <w:rPr>
          <w:u w:val="single"/>
        </w:rPr>
        <w:t>Publicity</w:t>
      </w:r>
      <w:r>
        <w:rPr/>
        <w:t>.  Neither party shall issue any press release or make any public announcement regarding the relationship of the parties set forth in this Agreement without the prior written consent of the other party except as required by law, rule or regulation.</w:t>
      </w:r>
    </w:p>
    <w:p>
      <w:pPr>
        <w:pStyle w:val="Legal2L2"/>
        <w:numPr>
          <w:ilvl w:val="1"/>
          <w:numId w:val="14"/>
        </w:numPr>
        <w:ind w:hanging="0" w:start="0"/>
        <w:rPr>
          <w:rFonts w:eastAsia="‚l‚r –¾’©;MS Gothic"/>
        </w:rPr>
      </w:pPr>
      <w:r>
        <w:rPr>
          <w:rFonts w:eastAsia="‚l‚r –¾’©;MS Gothic"/>
          <w:u w:val="single"/>
        </w:rPr>
        <w:t>Enforceability</w:t>
      </w:r>
      <w:bookmarkStart w:id="30" w:name="_Ref468511099"/>
      <w:r>
        <w:rPr/>
        <w:t>.  It is the desire and intent of the parties hereto that the provisions of this Agreement shall be enforced to the fullest extent permissible under the laws and public policies applied in each jurisdiction in which enforcement is sought.  Accordingly, if any particular provision of this Agreement shall be adjudicated to be invalid or unenforceable, such provision shall be deemed amended to delete therefrom the portion thus adjudicated to be invalid or unenforceable, such deletion to apply only with respect to the operation of such provision in the particular jurisdiction in which such adjudication is made.</w:t>
      </w:r>
      <w:bookmarkEnd w:id="30"/>
    </w:p>
    <w:p>
      <w:pPr>
        <w:pStyle w:val="Legal2L2"/>
        <w:numPr>
          <w:ilvl w:val="1"/>
          <w:numId w:val="14"/>
        </w:numPr>
        <w:ind w:hanging="0" w:start="0"/>
        <w:rPr>
          <w:rFonts w:eastAsia="‚l‚r –¾’©;MS Gothic"/>
        </w:rPr>
      </w:pPr>
      <w:r>
        <w:rPr>
          <w:u w:val="single"/>
        </w:rPr>
        <w:t>No Third Party Beneficiaries</w:t>
      </w:r>
      <w:r>
        <w:rPr/>
        <w:t>.  All rights and obligations of the parties hereunder are personal to them.  This Agreement is not intended to benefit, nor shall it be deemed to give rise to, any rights in any third party.</w:t>
      </w:r>
    </w:p>
    <w:p>
      <w:pPr>
        <w:pStyle w:val="Legal2L2"/>
        <w:numPr>
          <w:ilvl w:val="1"/>
          <w:numId w:val="14"/>
        </w:numPr>
        <w:ind w:hanging="0" w:start="0"/>
        <w:rPr/>
      </w:pPr>
      <w:bookmarkStart w:id="31" w:name="_Ref503867253"/>
      <w:bookmarkStart w:id="32" w:name="_Ref468511191"/>
      <w:r>
        <w:rPr>
          <w:u w:val="single"/>
        </w:rPr>
        <w:t>Notices</w:t>
      </w:r>
      <w:r>
        <w:rPr/>
        <w:t xml:space="preserve">.  </w:t>
      </w:r>
      <w:bookmarkEnd w:id="32"/>
      <w:r>
        <w:rPr/>
        <w:t>All notices and other communications required or permitted under this Agreement shall be in writing and shall</w:t>
      </w:r>
      <w:bookmarkEnd w:id="31"/>
      <w:r>
        <w:rPr/>
        <w:t xml:space="preserve"> be delivered in accordance with Section [5.4] of the Contribution Agreement.</w:t>
      </w:r>
    </w:p>
    <w:p>
      <w:pPr>
        <w:pStyle w:val="Legal2L2"/>
        <w:numPr>
          <w:ilvl w:val="1"/>
          <w:numId w:val="14"/>
        </w:numPr>
        <w:ind w:hanging="0" w:start="0"/>
        <w:rPr>
          <w:rFonts w:eastAsia="‚l‚r –¾’©;MS Gothic"/>
        </w:rPr>
      </w:pPr>
      <w:r>
        <w:rPr>
          <w:rFonts w:eastAsia="‚l‚r –¾’©;MS Gothic"/>
          <w:u w:val="single"/>
        </w:rPr>
        <w:t>Governing Law</w:t>
      </w:r>
      <w:r>
        <w:rPr>
          <w:rFonts w:eastAsia="‚l‚r –¾’©;MS Gothic"/>
        </w:rPr>
        <w:t xml:space="preserve">.  This Agreement and the rights and obligations of the parties under this </w:t>
      </w:r>
      <w:r>
        <w:rPr/>
        <w:t>Agreement</w:t>
      </w:r>
      <w:r>
        <w:rPr>
          <w:rFonts w:eastAsia="‚l‚r –¾’©;MS Gothic"/>
        </w:rPr>
        <w:t xml:space="preserve"> shall be governed by and construed in accordance with the laws of the State of New York, without regard to the conflict of laws provisions thereof.  The sole jurisdiction and venue for actions relating to the subject matter of this Agreement shall be the state and federal courts in New York, New York and the parties expressly consent to the exclusive jurisdiction and venue of such courts.</w:t>
      </w:r>
    </w:p>
    <w:p>
      <w:pPr>
        <w:pStyle w:val="Legal2L2"/>
        <w:numPr>
          <w:ilvl w:val="1"/>
          <w:numId w:val="14"/>
        </w:numPr>
        <w:ind w:hanging="0" w:start="0"/>
        <w:rPr>
          <w:rFonts w:eastAsia="‚l‚r –¾’©;MS Gothic"/>
          <w:b/>
        </w:rPr>
      </w:pPr>
      <w:r>
        <w:rPr>
          <w:rFonts w:eastAsia="‚l‚r –¾’©;MS Gothic"/>
          <w:u w:val="single"/>
        </w:rPr>
        <w:t>Headings</w:t>
      </w:r>
      <w:r>
        <w:rPr>
          <w:rFonts w:eastAsia="‚l‚r –¾’©;MS Gothic"/>
        </w:rPr>
        <w:t>.  The headings and captions used in this Agreement are used for convenience only and are not to be considered in construing or interpreting this Agreement.</w:t>
      </w:r>
    </w:p>
    <w:p>
      <w:pPr>
        <w:pStyle w:val="Legal2L2"/>
        <w:numPr>
          <w:ilvl w:val="1"/>
          <w:numId w:val="14"/>
        </w:numPr>
        <w:ind w:hanging="0" w:start="0"/>
        <w:rPr>
          <w:rFonts w:eastAsia="‚l‚r –¾’©;MS Gothic"/>
        </w:rPr>
      </w:pPr>
      <w:r>
        <w:rPr>
          <w:rFonts w:eastAsia="‚l‚r –¾’©;MS Gothic"/>
          <w:u w:val="single"/>
        </w:rPr>
        <w:t>Counterparts</w:t>
      </w:r>
      <w:r>
        <w:rPr/>
        <w:t xml:space="preserve"> This Agreement may be executed in any number of counterparts, and each such counterpart hereof shall be deemed to be an original instrument, but all such counterparts together shall constitute but one agreement.</w:t>
      </w:r>
    </w:p>
    <w:p>
      <w:pPr>
        <w:pStyle w:val="Legal2L2"/>
        <w:numPr>
          <w:ilvl w:val="1"/>
          <w:numId w:val="14"/>
        </w:numPr>
        <w:ind w:hanging="0" w:start="0"/>
        <w:rPr>
          <w:rFonts w:eastAsia="‚l‚r –¾’©;MS Gothic"/>
        </w:rPr>
      </w:pPr>
      <w:r>
        <w:rPr>
          <w:rFonts w:eastAsia="‚l‚r –¾’©;MS Gothic"/>
          <w:u w:val="single"/>
        </w:rPr>
        <w:t>Entire Agreement</w:t>
      </w:r>
      <w:r>
        <w:rPr>
          <w:rFonts w:eastAsia="‚l‚r –¾’©;MS Gothic"/>
        </w:rPr>
        <w:t xml:space="preserve">.  This Agreement and the attached Exhibits contain the entire agreement among the parties with </w:t>
      </w:r>
      <w:r>
        <w:rPr/>
        <w:t>respect</w:t>
      </w:r>
      <w:r>
        <w:rPr>
          <w:rFonts w:eastAsia="‚l‚r –¾’©;MS Gothic"/>
        </w:rPr>
        <w:t xml:space="preserve"> to the subject matter hereof, and supersede all other representations, understandings, negotiations, communications or agreements, written, oral or otherwise, between the parties regarding the subject matter of this Agreement.</w:t>
      </w:r>
      <w:r>
        <w:rPr/>
        <w:t xml:space="preserve"> </w:t>
      </w:r>
    </w:p>
    <w:p>
      <w:pPr>
        <w:pStyle w:val="BodyText"/>
        <w:keepNext w:val="true"/>
        <w:keepLines/>
        <w:rPr/>
      </w:pPr>
      <w:r>
        <w:rPr/>
        <w:t>IN WITNESS WHEREOF, each of the parties has caused this Agreement to be duly executed and delivered as of the Closing Date.</w:t>
      </w:r>
    </w:p>
    <w:p>
      <w:pPr>
        <w:pStyle w:val="BodyText"/>
        <w:keepNext w:val="true"/>
        <w:keepLines/>
        <w:spacing w:before="0" w:after="480"/>
        <w:ind w:firstLine="4320" w:end="0"/>
        <w:rPr>
          <w:caps/>
        </w:rPr>
      </w:pPr>
      <w:r>
        <w:rPr>
          <w:caps/>
        </w:rPr>
        <w:t>Enron CORP.</w:t>
      </w:r>
    </w:p>
    <w:p>
      <w:pPr>
        <w:pStyle w:val="BodyText"/>
        <w:keepNext w:val="true"/>
        <w:keepLines/>
        <w:spacing w:before="0" w:after="0"/>
        <w:ind w:firstLine="4320" w:end="0"/>
        <w:rPr/>
      </w:pPr>
      <w:r>
        <w:rPr/>
        <w:t>By:</w:t>
      </w:r>
      <w:r>
        <w:rPr>
          <w:u w:val="single"/>
        </w:rPr>
        <w:tab/>
        <w:tab/>
        <w:tab/>
        <w:tab/>
        <w:tab/>
        <w:tab/>
      </w:r>
    </w:p>
    <w:p>
      <w:pPr>
        <w:pStyle w:val="BodyText"/>
        <w:keepNext w:val="true"/>
        <w:keepLines/>
        <w:spacing w:before="0" w:after="0"/>
        <w:ind w:firstLine="4320" w:end="0"/>
        <w:rPr/>
      </w:pPr>
      <w:r>
        <w:rPr/>
        <w:t>Name:</w:t>
      </w:r>
    </w:p>
    <w:p>
      <w:pPr>
        <w:pStyle w:val="BodyText"/>
        <w:keepNext w:val="true"/>
        <w:keepLines/>
        <w:spacing w:before="0" w:after="0"/>
        <w:ind w:firstLine="4320" w:end="0"/>
        <w:rPr/>
      </w:pPr>
      <w:r>
        <w:rPr/>
        <w:t>Title:</w:t>
      </w:r>
    </w:p>
    <w:p>
      <w:pPr>
        <w:pStyle w:val="BodyText"/>
        <w:tabs>
          <w:tab w:val="clear" w:pos="720"/>
          <w:tab w:val="left" w:pos="450" w:leader="none"/>
          <w:tab w:val="right" w:pos="4302" w:leader="none"/>
        </w:tabs>
        <w:spacing w:before="240" w:after="480"/>
        <w:ind w:firstLine="4320" w:end="0"/>
        <w:rPr>
          <w:caps/>
        </w:rPr>
      </w:pPr>
      <w:r>
        <w:rPr>
          <w:caps/>
        </w:rPr>
        <w:t>Enron North America CORP.</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tabs>
          <w:tab w:val="clear" w:pos="720"/>
          <w:tab w:val="left" w:pos="450" w:leader="none"/>
          <w:tab w:val="right" w:pos="4302" w:leader="none"/>
        </w:tabs>
        <w:spacing w:before="240" w:after="480"/>
        <w:ind w:firstLine="4320" w:end="0"/>
        <w:rPr>
          <w:caps/>
        </w:rPr>
      </w:pPr>
      <w:r>
        <w:rPr>
          <w:caps/>
        </w:rPr>
        <w:t>Enron Net Works L.L.C.</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240" w:after="0"/>
        <w:ind w:hanging="0" w:start="4320" w:end="0"/>
        <w:rPr/>
      </w:pPr>
      <w:r>
        <w:rPr/>
        <w:t>THE NEW ENERGY TRADING COMPANY, L.P.</w:t>
      </w:r>
    </w:p>
    <w:p>
      <w:pPr>
        <w:pStyle w:val="BodyText"/>
        <w:spacing w:before="240" w:after="0"/>
        <w:ind w:hanging="0" w:start="4320" w:end="0"/>
        <w:rPr/>
      </w:pPr>
      <w:r>
        <w:rPr/>
        <w:t>By:</w:t>
        <w:tab/>
        <w:t>[__________], its general partner</w:t>
      </w:r>
    </w:p>
    <w:p>
      <w:pPr>
        <w:pStyle w:val="BodyText"/>
        <w:spacing w:before="0" w:after="0"/>
        <w:ind w:firstLine="4320" w:end="0"/>
        <w:rPr/>
      </w:pPr>
      <w:r>
        <w:rPr/>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240" w:after="480"/>
        <w:ind w:firstLine="4320" w:end="0"/>
        <w:rPr/>
      </w:pPr>
      <w:r>
        <w:rPr/>
        <w:t>[PARENT]</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NumContinue"/>
        <w:spacing w:before="0" w:after="0"/>
        <w:ind w:firstLine="720" w:start="3600" w:end="0"/>
        <w:rPr/>
      </w:pPr>
      <w:r>
        <w:rPr/>
        <w:t>Title:</w:t>
      </w:r>
    </w:p>
    <w:p>
      <w:pPr>
        <w:sectPr>
          <w:headerReference w:type="default" r:id="rId4"/>
          <w:headerReference w:type="first" r:id="rId5"/>
          <w:footerReference w:type="default" r:id="rId6"/>
          <w:footerReference w:type="first" r:id="rId7"/>
          <w:type w:val="nextPage"/>
          <w:pgSz w:w="12240" w:h="15840"/>
          <w:pgMar w:left="1440" w:right="1440" w:gutter="0" w:header="432" w:top="1440" w:footer="720" w:bottom="1440"/>
          <w:pgNumType w:fmt="decimal"/>
          <w:formProt w:val="false"/>
          <w:titlePg/>
          <w:textDirection w:val="lrTb"/>
          <w:docGrid w:type="default" w:linePitch="360" w:charSpace="0"/>
        </w:sectPr>
        <w:pStyle w:val="NumContinue"/>
        <w:spacing w:before="0" w:after="0"/>
        <w:ind w:hanging="0" w:end="0"/>
        <w:jc w:val="center"/>
        <w:rPr/>
      </w:pPr>
      <w:r>
        <w:rPr/>
      </w:r>
    </w:p>
    <w:p>
      <w:pPr>
        <w:pStyle w:val="Normal"/>
        <w:tabs>
          <w:tab w:val="clear" w:pos="720"/>
          <w:tab w:val="left" w:pos="5040" w:leader="none"/>
          <w:tab w:val="right" w:pos="8640" w:leader="none"/>
        </w:tabs>
        <w:jc w:val="center"/>
        <w:rPr>
          <w:b/>
          <w:u w:val="single"/>
        </w:rPr>
      </w:pPr>
      <w:r>
        <w:rPr>
          <w:b/>
          <w:u w:val="single"/>
        </w:rPr>
        <w:t>EXHIBIT A</w:t>
      </w:r>
    </w:p>
    <w:p>
      <w:pPr>
        <w:pStyle w:val="Normal"/>
        <w:suppressAutoHyphens w:val="true"/>
        <w:spacing w:lineRule="auto" w:line="216"/>
        <w:jc w:val="center"/>
        <w:rPr>
          <w:b/>
          <w:color w:val="000000"/>
        </w:rPr>
      </w:pPr>
      <w:r>
        <w:rPr>
          <w:b/>
          <w:color w:val="000000"/>
        </w:rPr>
        <w:t>PATENT ASSIGNMENT</w:t>
      </w:r>
    </w:p>
    <w:p>
      <w:pPr>
        <w:pStyle w:val="Normal"/>
        <w:rPr>
          <w:b/>
          <w:color w:val="000000"/>
        </w:rPr>
      </w:pPr>
      <w:r>
        <w:rPr>
          <w:b/>
          <w:color w:val="000000"/>
        </w:rPr>
      </w:r>
    </w:p>
    <w:p>
      <w:pPr>
        <w:pStyle w:val="BodyText"/>
        <w:spacing w:lineRule="auto" w:line="216"/>
        <w:ind w:firstLine="720" w:end="0"/>
        <w:rPr/>
      </w:pPr>
      <w:r>
        <w:rPr/>
        <w:t>This</w:t>
      </w:r>
      <w:r>
        <w:rPr>
          <w:b/>
        </w:rPr>
        <w:t xml:space="preserve"> </w:t>
      </w:r>
      <w:r>
        <w:rPr/>
        <w:t>PATENT ASSIGNMENT (</w:t>
      </w:r>
      <w:r>
        <w:rPr>
          <w:b/>
        </w:rPr>
        <w:t>“</w:t>
      </w:r>
      <w:r>
        <w:rPr>
          <w:b/>
          <w:u w:val="single"/>
        </w:rPr>
        <w:t>Patent Assignment</w:t>
      </w:r>
      <w:r>
        <w:rPr>
          <w:b/>
        </w:rPr>
        <w:t>”</w:t>
      </w:r>
      <w:r>
        <w:rPr/>
        <w:t>) dated as of ___________ (“</w:t>
      </w:r>
      <w:r>
        <w:rPr>
          <w:b/>
          <w:u w:val="single"/>
        </w:rPr>
        <w:t>Effective Date</w:t>
      </w:r>
      <w:r>
        <w:rPr/>
        <w:t>”), is made by and between Enron Net Works, LLC, a ______________ corporation (“</w:t>
      </w:r>
      <w:r>
        <w:rPr>
          <w:b/>
          <w:u w:val="single"/>
        </w:rPr>
        <w:t>Assignor</w:t>
      </w:r>
      <w:r>
        <w:rPr/>
        <w:t>”) and _______________, a _________________ corporation (“</w:t>
      </w:r>
      <w:r>
        <w:rPr>
          <w:b/>
          <w:u w:val="single"/>
        </w:rPr>
        <w:t>Assignee</w:t>
      </w:r>
      <w:r>
        <w:rPr/>
        <w:t>”).</w:t>
      </w:r>
    </w:p>
    <w:p>
      <w:pPr>
        <w:pStyle w:val="BodyText"/>
        <w:spacing w:lineRule="auto" w:line="216"/>
        <w:ind w:firstLine="720" w:end="0"/>
        <w:rPr/>
      </w:pPr>
      <w:r>
        <w:rPr/>
        <w:t>WHEREAS, Assignor and Assignee have entered into an Assignment and License Agreement pursuant to which Assignor has agreed to assign certain patent rights to Assignee.</w:t>
      </w:r>
    </w:p>
    <w:p>
      <w:pPr>
        <w:pStyle w:val="BodyText"/>
        <w:spacing w:lineRule="auto" w:line="216" w:before="0" w:after="0"/>
        <w:ind w:firstLine="720" w:end="0"/>
        <w:rPr/>
      </w:pPr>
      <w:r>
        <w:rPr/>
        <w:t>NOW, THEREFORE, for good and valuable consideration, including the promises and covenants set forth in the Assignment and License Agreement, the parties agree as follows:</w:t>
      </w:r>
    </w:p>
    <w:p>
      <w:pPr>
        <w:pStyle w:val="Heading1"/>
        <w:spacing w:before="240" w:after="0"/>
        <w:ind w:hanging="0" w:start="0"/>
        <w:rPr>
          <w:sz w:val="24"/>
        </w:rPr>
      </w:pPr>
      <w:r>
        <w:rPr>
          <w:sz w:val="24"/>
        </w:rPr>
        <w:t>1.</w:t>
        <w:tab/>
        <w:t>Patents.</w:t>
      </w:r>
    </w:p>
    <w:p>
      <w:pPr>
        <w:pStyle w:val="Normal"/>
        <w:rPr>
          <w:sz w:val="24"/>
        </w:rPr>
      </w:pPr>
      <w:r>
        <w:rPr>
          <w:sz w:val="24"/>
        </w:rPr>
      </w:r>
    </w:p>
    <w:p>
      <w:pPr>
        <w:pStyle w:val="BodyText"/>
        <w:spacing w:lineRule="auto" w:line="216" w:before="0" w:after="0"/>
        <w:ind w:firstLine="720" w:end="0"/>
        <w:rPr/>
      </w:pPr>
      <w:r>
        <w:rPr/>
        <w:t>“</w:t>
      </w:r>
      <w:r>
        <w:rPr>
          <w:b/>
          <w:u w:val="single"/>
        </w:rPr>
        <w:t>Patents</w:t>
      </w:r>
      <w:r>
        <w:rPr/>
        <w:t>” shall mean the patents and patent applications listed on Attachment I, as well as any reexaminations, extensions and reissues thereof and any divisionals, continuations and continuations-in-part and any other applications or patents that claim priority therefrom.</w:t>
      </w:r>
    </w:p>
    <w:p>
      <w:pPr>
        <w:pStyle w:val="Heading1"/>
        <w:spacing w:before="240" w:after="0"/>
        <w:ind w:hanging="0" w:start="0"/>
        <w:rPr>
          <w:sz w:val="24"/>
        </w:rPr>
      </w:pPr>
      <w:r>
        <w:rPr>
          <w:sz w:val="24"/>
        </w:rPr>
        <w:t>2.</w:t>
        <w:tab/>
        <w:t>Assignment.</w:t>
      </w:r>
    </w:p>
    <w:p>
      <w:pPr>
        <w:pStyle w:val="Normal"/>
        <w:rPr>
          <w:sz w:val="24"/>
        </w:rPr>
      </w:pPr>
      <w:r>
        <w:rPr>
          <w:sz w:val="24"/>
        </w:rPr>
      </w:r>
    </w:p>
    <w:p>
      <w:pPr>
        <w:pStyle w:val="BodyText"/>
        <w:spacing w:lineRule="auto" w:line="216" w:before="0" w:after="0"/>
        <w:ind w:firstLine="720" w:end="0"/>
        <w:rPr/>
      </w:pPr>
      <w:r>
        <w:rPr/>
        <w:t>Assignor hereby assigns, transfers and conveys to Assignee all of its rights, title and interest in and to the Patents, and all rights, claims and privileges pertaining to the Patents.</w:t>
      </w:r>
    </w:p>
    <w:p>
      <w:pPr>
        <w:pStyle w:val="BodyText"/>
        <w:spacing w:lineRule="auto" w:line="216" w:before="0" w:after="0"/>
        <w:ind w:firstLine="720" w:end="0"/>
        <w:rPr/>
      </w:pPr>
      <w:r>
        <w:rPr/>
      </w:r>
    </w:p>
    <w:p>
      <w:pPr>
        <w:pStyle w:val="BodyText"/>
        <w:keepNext w:val="true"/>
        <w:spacing w:lineRule="auto" w:line="216" w:before="120" w:after="240"/>
        <w:ind w:firstLine="720" w:end="0"/>
        <w:rPr/>
      </w:pPr>
      <w:r>
        <w:rPr>
          <w:b/>
        </w:rPr>
        <w:t>IN WITNESS WHEREOF</w:t>
      </w:r>
      <w:r>
        <w:rPr/>
        <w:t>, the parties have caused this Patent Assignment to be executed as of the Effective Date.</w:t>
      </w:r>
    </w:p>
    <w:tbl>
      <w:tblPr>
        <w:tblW w:w="10080" w:type="dxa"/>
        <w:jc w:val="start"/>
        <w:tblInd w:w="0" w:type="dxa"/>
        <w:tblLayout w:type="fixed"/>
        <w:tblCellMar>
          <w:top w:w="0" w:type="dxa"/>
          <w:start w:w="360" w:type="dxa"/>
          <w:bottom w:w="0" w:type="dxa"/>
          <w:end w:w="360" w:type="dxa"/>
        </w:tblCellMar>
      </w:tblPr>
      <w:tblGrid>
        <w:gridCol w:w="5040"/>
        <w:gridCol w:w="5040"/>
      </w:tblGrid>
      <w:tr>
        <w:trPr/>
        <w:tc>
          <w:tcPr>
            <w:tcW w:w="5040" w:type="dxa"/>
            <w:tcBorders/>
          </w:tcPr>
          <w:p>
            <w:pPr>
              <w:pStyle w:val="Normal"/>
              <w:suppressAutoHyphens w:val="true"/>
              <w:rPr>
                <w:b/>
                <w:color w:val="000000"/>
              </w:rPr>
            </w:pPr>
            <w:r>
              <w:rPr>
                <w:b/>
                <w:color w:val="000000"/>
              </w:rPr>
              <w:t>ENRON NET WORKS, L.L.C.</w:t>
            </w:r>
          </w:p>
          <w:p>
            <w:pPr>
              <w:pStyle w:val="Normal"/>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ind w:hanging="720" w:start="720" w:end="0"/>
              <w:rPr>
                <w:color w:val="000000"/>
              </w:rPr>
            </w:pPr>
            <w:r>
              <w:rPr>
                <w:color w:val="000000"/>
              </w:rPr>
              <w:t>Title: _______________________________</w:t>
            </w:r>
          </w:p>
          <w:p>
            <w:pPr>
              <w:pStyle w:val="Normal"/>
              <w:tabs>
                <w:tab w:val="left" w:pos="720" w:leader="none"/>
                <w:tab w:val="right" w:pos="4320" w:leader="none"/>
              </w:tabs>
              <w:suppressAutoHyphens w:val="true"/>
              <w:ind w:hanging="720" w:start="720" w:end="0"/>
              <w:rPr>
                <w:color w:val="000000"/>
              </w:rPr>
            </w:pPr>
            <w:r>
              <w:rPr>
                <w:color w:val="000000"/>
              </w:rPr>
            </w:r>
          </w:p>
        </w:tc>
        <w:tc>
          <w:tcPr>
            <w:tcW w:w="5040" w:type="dxa"/>
            <w:tcBorders/>
          </w:tcPr>
          <w:p>
            <w:pPr>
              <w:pStyle w:val="Normal"/>
              <w:tabs>
                <w:tab w:val="clear" w:pos="720"/>
                <w:tab w:val="left" w:pos="4320" w:leader="none"/>
              </w:tabs>
              <w:suppressAutoHyphens w:val="true"/>
              <w:rPr>
                <w:b/>
                <w:color w:val="000000"/>
              </w:rPr>
            </w:pPr>
            <w:r>
              <w:rPr>
                <w:b/>
                <w:color w:val="000000"/>
              </w:rPr>
              <w:t>[NAME OF ASSIGNEE]</w:t>
            </w:r>
          </w:p>
          <w:p>
            <w:pPr>
              <w:pStyle w:val="Normal"/>
              <w:tabs>
                <w:tab w:val="clear" w:pos="720"/>
                <w:tab w:val="left" w:pos="4320" w:leader="none"/>
              </w:tabs>
              <w:suppressAutoHyphens w:val="true"/>
              <w:rPr>
                <w:b/>
                <w:color w:val="000000"/>
              </w:rPr>
            </w:pPr>
            <w:r>
              <w:rPr>
                <w:b/>
                <w:color w:val="000000"/>
              </w:rPr>
            </w:r>
          </w:p>
          <w:p>
            <w:pPr>
              <w:pStyle w:val="Normal"/>
              <w:tabs>
                <w:tab w:val="clear" w:pos="720"/>
                <w:tab w:val="left" w:pos="4320" w:leader="none"/>
              </w:tabs>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rPr>
                <w:color w:val="000000"/>
              </w:rPr>
            </w:pPr>
            <w:r>
              <w:rPr>
                <w:color w:val="000000"/>
              </w:rPr>
              <w:t>Title: _______________________________</w:t>
            </w:r>
          </w:p>
          <w:p>
            <w:pPr>
              <w:pStyle w:val="Normal"/>
              <w:tabs>
                <w:tab w:val="left" w:pos="720" w:leader="none"/>
                <w:tab w:val="right" w:pos="4320" w:leader="none"/>
              </w:tabs>
              <w:suppressAutoHyphens w:val="true"/>
              <w:rPr>
                <w:color w:val="000000"/>
              </w:rPr>
            </w:pPr>
            <w:r>
              <w:rPr>
                <w:color w:val="000000"/>
              </w:rPr>
            </w:r>
          </w:p>
        </w:tc>
      </w:tr>
    </w:tbl>
    <w:p>
      <w:pPr>
        <w:sectPr>
          <w:headerReference w:type="default" r:id="rId8"/>
          <w:headerReference w:type="first" r:id="rId9"/>
          <w:footerReference w:type="default" r:id="rId10"/>
          <w:footerReference w:type="first" r:id="rId11"/>
          <w:type w:val="nextPage"/>
          <w:pgSz w:w="12240" w:h="15840"/>
          <w:pgMar w:left="1800" w:right="1800" w:gutter="0" w:header="432" w:top="1296" w:footer="720" w:bottom="1296"/>
          <w:pgNumType w:start="1" w:fmt="decimal"/>
          <w:formProt w:val="false"/>
          <w:titlePg/>
          <w:textDirection w:val="lrTb"/>
          <w:docGrid w:type="default" w:linePitch="360" w:charSpace="0"/>
        </w:sectPr>
      </w:pPr>
    </w:p>
    <w:p>
      <w:pPr>
        <w:pStyle w:val="Heading1"/>
        <w:ind w:hanging="0" w:start="0"/>
        <w:jc w:val="center"/>
        <w:rPr>
          <w:sz w:val="24"/>
        </w:rPr>
      </w:pPr>
      <w:r>
        <w:rPr>
          <w:sz w:val="24"/>
        </w:rPr>
        <w:t>ATTACHMENT I</w:t>
      </w:r>
    </w:p>
    <w:p>
      <w:pPr>
        <w:pStyle w:val="Normal"/>
        <w:jc w:val="center"/>
        <w:rPr>
          <w:sz w:val="24"/>
        </w:rPr>
      </w:pPr>
      <w:r>
        <w:rPr>
          <w:sz w:val="24"/>
        </w:rPr>
      </w:r>
    </w:p>
    <w:tbl>
      <w:tblPr>
        <w:tblW w:w="11016" w:type="dxa"/>
        <w:jc w:val="start"/>
        <w:tblInd w:w="-612" w:type="dxa"/>
        <w:tblLayout w:type="fixed"/>
        <w:tblCellMar>
          <w:top w:w="0" w:type="dxa"/>
          <w:start w:w="108" w:type="dxa"/>
          <w:bottom w:w="0" w:type="dxa"/>
          <w:end w:w="108" w:type="dxa"/>
        </w:tblCellMar>
      </w:tblPr>
      <w:tblGrid>
        <w:gridCol w:w="3258"/>
        <w:gridCol w:w="1890"/>
        <w:gridCol w:w="1620"/>
        <w:gridCol w:w="1350"/>
        <w:gridCol w:w="1530"/>
        <w:gridCol w:w="1368"/>
      </w:tblGrid>
      <w:tr>
        <w:trPr/>
        <w:tc>
          <w:tcPr>
            <w:tcW w:w="11016" w:type="dxa"/>
            <w:gridSpan w:val="6"/>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pacing w:before="120" w:after="120"/>
              <w:jc w:val="center"/>
              <w:rPr>
                <w:b/>
                <w:spacing w:val="-1"/>
              </w:rPr>
            </w:pPr>
            <w:r>
              <w:rPr>
                <w:b/>
                <w:spacing w:val="-1"/>
              </w:rPr>
              <w:t>PATENTS</w:t>
            </w:r>
          </w:p>
        </w:tc>
      </w:tr>
      <w:tr>
        <w:trPr/>
        <w:tc>
          <w:tcPr>
            <w:tcW w:w="3258" w:type="dxa"/>
            <w:tcBorders>
              <w:top w:val="single" w:sz="6" w:space="0" w:color="000000"/>
              <w:start w:val="single" w:sz="6" w:space="0" w:color="000000"/>
              <w:bottom w:val="single" w:sz="6" w:space="0" w:color="000000"/>
              <w:end w:val="single" w:sz="6" w:space="0" w:color="000000"/>
            </w:tcBorders>
            <w:vAlign w:val="bottom"/>
          </w:tcPr>
          <w:p>
            <w:pPr>
              <w:pStyle w:val="Normal"/>
              <w:tabs>
                <w:tab w:val="clear" w:pos="720"/>
                <w:tab w:val="left" w:pos="-720" w:leader="none"/>
              </w:tabs>
              <w:suppressAutoHyphens w:val="true"/>
              <w:spacing w:before="120" w:after="120"/>
              <w:jc w:val="center"/>
              <w:rPr>
                <w:b/>
                <w:spacing w:val="-1"/>
                <w:sz w:val="20"/>
              </w:rPr>
            </w:pPr>
            <w:r>
              <w:rPr>
                <w:b/>
                <w:spacing w:val="-1"/>
                <w:sz w:val="20"/>
              </w:rPr>
              <w:t>Patent Title</w:t>
            </w:r>
          </w:p>
        </w:tc>
        <w:tc>
          <w:tcPr>
            <w:tcW w:w="1890" w:type="dxa"/>
            <w:tcBorders>
              <w:top w:val="single" w:sz="6" w:space="0" w:color="000000"/>
              <w:start w:val="single" w:sz="6" w:space="0" w:color="000000"/>
              <w:bottom w:val="single" w:sz="6" w:space="0" w:color="000000"/>
              <w:end w:val="single" w:sz="6" w:space="0" w:color="000000"/>
            </w:tcBorders>
            <w:vAlign w:val="bottom"/>
          </w:tcPr>
          <w:p>
            <w:pPr>
              <w:pStyle w:val="Normal"/>
              <w:tabs>
                <w:tab w:val="clear" w:pos="720"/>
                <w:tab w:val="left" w:pos="-720" w:leader="none"/>
              </w:tabs>
              <w:suppressAutoHyphens w:val="true"/>
              <w:spacing w:before="120" w:after="120"/>
              <w:jc w:val="center"/>
              <w:rPr>
                <w:b/>
                <w:spacing w:val="-1"/>
                <w:sz w:val="20"/>
              </w:rPr>
            </w:pPr>
            <w:r>
              <w:rPr>
                <w:b/>
                <w:spacing w:val="-1"/>
                <w:sz w:val="20"/>
              </w:rPr>
              <w:t>Inventor(s)/</w:t>
            </w:r>
          </w:p>
          <w:p>
            <w:pPr>
              <w:pStyle w:val="Normal"/>
              <w:tabs>
                <w:tab w:val="clear" w:pos="720"/>
                <w:tab w:val="left" w:pos="-720" w:leader="none"/>
              </w:tabs>
              <w:suppressAutoHyphens w:val="true"/>
              <w:spacing w:before="120" w:after="120"/>
              <w:jc w:val="center"/>
              <w:rPr>
                <w:b/>
                <w:spacing w:val="-1"/>
                <w:sz w:val="20"/>
              </w:rPr>
            </w:pPr>
            <w:r>
              <w:rPr>
                <w:b/>
                <w:spacing w:val="-1"/>
                <w:sz w:val="20"/>
              </w:rPr>
              <w:t>Applicant(s)</w:t>
            </w:r>
          </w:p>
        </w:tc>
        <w:tc>
          <w:tcPr>
            <w:tcW w:w="1620" w:type="dxa"/>
            <w:tcBorders>
              <w:top w:val="single" w:sz="6" w:space="0" w:color="000000"/>
              <w:start w:val="single" w:sz="6" w:space="0" w:color="000000"/>
              <w:bottom w:val="single" w:sz="6" w:space="0" w:color="000000"/>
              <w:end w:val="single" w:sz="6" w:space="0" w:color="000000"/>
            </w:tcBorders>
            <w:vAlign w:val="bottom"/>
          </w:tcPr>
          <w:p>
            <w:pPr>
              <w:pStyle w:val="Heading3"/>
              <w:tabs>
                <w:tab w:val="clear" w:pos="720"/>
                <w:tab w:val="left" w:pos="-720" w:leader="none"/>
              </w:tabs>
              <w:spacing w:before="120" w:after="0"/>
              <w:ind w:hanging="0" w:start="0"/>
              <w:jc w:val="center"/>
              <w:rPr>
                <w:b/>
                <w:sz w:val="20"/>
              </w:rPr>
            </w:pPr>
            <w:r>
              <w:rPr>
                <w:b/>
                <w:sz w:val="20"/>
              </w:rPr>
              <w:t>Appl.</w:t>
            </w:r>
          </w:p>
          <w:p>
            <w:pPr>
              <w:pStyle w:val="Normal"/>
              <w:tabs>
                <w:tab w:val="clear" w:pos="720"/>
                <w:tab w:val="left" w:pos="-720" w:leader="none"/>
              </w:tabs>
              <w:suppressAutoHyphens w:val="true"/>
              <w:spacing w:before="120" w:after="120"/>
              <w:jc w:val="center"/>
              <w:rPr>
                <w:b/>
                <w:spacing w:val="-1"/>
                <w:sz w:val="20"/>
              </w:rPr>
            </w:pPr>
            <w:r>
              <w:rPr>
                <w:b/>
                <w:spacing w:val="-1"/>
                <w:sz w:val="20"/>
              </w:rPr>
              <w:t>Serial No.</w:t>
            </w:r>
          </w:p>
        </w:tc>
        <w:tc>
          <w:tcPr>
            <w:tcW w:w="1350" w:type="dxa"/>
            <w:tcBorders>
              <w:top w:val="single" w:sz="6" w:space="0" w:color="000000"/>
              <w:start w:val="single" w:sz="6" w:space="0" w:color="000000"/>
              <w:bottom w:val="single" w:sz="6" w:space="0" w:color="000000"/>
              <w:end w:val="single" w:sz="6" w:space="0" w:color="000000"/>
            </w:tcBorders>
            <w:vAlign w:val="bottom"/>
          </w:tcPr>
          <w:p>
            <w:pPr>
              <w:pStyle w:val="Heading3"/>
              <w:tabs>
                <w:tab w:val="clear" w:pos="720"/>
                <w:tab w:val="left" w:pos="-720" w:leader="none"/>
              </w:tabs>
              <w:spacing w:before="120" w:after="0"/>
              <w:ind w:hanging="0" w:start="0"/>
              <w:jc w:val="center"/>
              <w:rPr/>
            </w:pPr>
            <w:r>
              <w:rPr>
                <w:b/>
                <w:spacing w:val="-1"/>
                <w:sz w:val="20"/>
              </w:rPr>
              <w:t>Appl</w:t>
            </w:r>
            <w:r>
              <w:rPr>
                <w:b/>
                <w:sz w:val="20"/>
              </w:rPr>
              <w:t>.</w:t>
            </w:r>
          </w:p>
          <w:p>
            <w:pPr>
              <w:pStyle w:val="Normal"/>
              <w:tabs>
                <w:tab w:val="clear" w:pos="720"/>
                <w:tab w:val="left" w:pos="-720" w:leader="none"/>
              </w:tabs>
              <w:suppressAutoHyphens w:val="true"/>
              <w:spacing w:before="120" w:after="120"/>
              <w:jc w:val="center"/>
              <w:rPr>
                <w:b/>
                <w:spacing w:val="-1"/>
                <w:sz w:val="20"/>
              </w:rPr>
            </w:pPr>
            <w:r>
              <w:rPr>
                <w:b/>
                <w:spacing w:val="-1"/>
                <w:sz w:val="20"/>
              </w:rPr>
              <w:t>Filing</w:t>
            </w:r>
            <w:r>
              <w:rPr>
                <w:b/>
                <w:sz w:val="20"/>
              </w:rPr>
              <w:t xml:space="preserve"> Date</w:t>
            </w:r>
          </w:p>
        </w:tc>
        <w:tc>
          <w:tcPr>
            <w:tcW w:w="1530" w:type="dxa"/>
            <w:tcBorders>
              <w:top w:val="single" w:sz="6" w:space="0" w:color="000000"/>
              <w:start w:val="single" w:sz="6" w:space="0" w:color="000000"/>
              <w:bottom w:val="single" w:sz="6" w:space="0" w:color="000000"/>
              <w:end w:val="single" w:sz="6" w:space="0" w:color="000000"/>
            </w:tcBorders>
            <w:vAlign w:val="bottom"/>
          </w:tcPr>
          <w:p>
            <w:pPr>
              <w:pStyle w:val="Normal"/>
              <w:tabs>
                <w:tab w:val="clear" w:pos="720"/>
                <w:tab w:val="left" w:pos="-720" w:leader="none"/>
              </w:tabs>
              <w:suppressAutoHyphens w:val="true"/>
              <w:spacing w:before="0" w:after="120"/>
              <w:jc w:val="center"/>
              <w:rPr>
                <w:b/>
                <w:spacing w:val="-1"/>
                <w:sz w:val="20"/>
              </w:rPr>
            </w:pPr>
            <w:r>
              <w:rPr>
                <w:b/>
                <w:spacing w:val="-1"/>
                <w:sz w:val="20"/>
              </w:rPr>
              <w:t>Priority</w:t>
            </w:r>
          </w:p>
          <w:p>
            <w:pPr>
              <w:pStyle w:val="Normal"/>
              <w:tabs>
                <w:tab w:val="clear" w:pos="720"/>
                <w:tab w:val="left" w:pos="-720" w:leader="none"/>
              </w:tabs>
              <w:suppressAutoHyphens w:val="true"/>
              <w:spacing w:before="0" w:after="120"/>
              <w:jc w:val="center"/>
              <w:rPr>
                <w:b/>
                <w:spacing w:val="-1"/>
                <w:sz w:val="20"/>
              </w:rPr>
            </w:pPr>
            <w:r>
              <w:rPr>
                <w:b/>
                <w:spacing w:val="-1"/>
                <w:sz w:val="20"/>
              </w:rPr>
              <w:t>Date</w:t>
            </w:r>
          </w:p>
        </w:tc>
        <w:tc>
          <w:tcPr>
            <w:tcW w:w="1368" w:type="dxa"/>
            <w:tcBorders>
              <w:top w:val="single" w:sz="6" w:space="0" w:color="000000"/>
              <w:start w:val="single" w:sz="6" w:space="0" w:color="000000"/>
              <w:bottom w:val="single" w:sz="6" w:space="0" w:color="000000"/>
              <w:end w:val="single" w:sz="6" w:space="0" w:color="000000"/>
            </w:tcBorders>
            <w:vAlign w:val="bottom"/>
          </w:tcPr>
          <w:p>
            <w:pPr>
              <w:pStyle w:val="Heading3"/>
              <w:tabs>
                <w:tab w:val="clear" w:pos="720"/>
                <w:tab w:val="left" w:pos="-720" w:leader="none"/>
              </w:tabs>
              <w:spacing w:before="0" w:after="120"/>
              <w:ind w:hanging="0" w:start="0"/>
              <w:jc w:val="center"/>
              <w:rPr>
                <w:b/>
                <w:sz w:val="20"/>
              </w:rPr>
            </w:pPr>
            <w:r>
              <w:rPr>
                <w:b/>
                <w:sz w:val="20"/>
              </w:rPr>
              <w:t>Assignee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Single Party Buying and Selling Commodities with Multiple Counterparties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Louise J. Kitchen</w:t>
            </w:r>
          </w:p>
          <w:p>
            <w:pPr>
              <w:pStyle w:val="Normal"/>
              <w:jc w:val="center"/>
              <w:rPr>
                <w:sz w:val="20"/>
              </w:rPr>
            </w:pPr>
            <w:r>
              <w:rPr>
                <w:sz w:val="20"/>
              </w:rPr>
              <w:t>Jay C. Webb</w:t>
            </w:r>
          </w:p>
          <w:p>
            <w:pPr>
              <w:pStyle w:val="Normal"/>
              <w:jc w:val="center"/>
              <w:rPr>
                <w:sz w:val="20"/>
              </w:rPr>
            </w:pPr>
            <w:r>
              <w:rPr>
                <w:sz w:val="20"/>
              </w:rPr>
              <w:t>Marcello Romano</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09/895,281</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June 29, 2001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pacing w:val="-1"/>
                <w:sz w:val="20"/>
              </w:rPr>
              <w:t>June 30, 2000</w:t>
            </w:r>
          </w:p>
        </w:tc>
        <w:tc>
          <w:tcPr>
            <w:tcW w:w="13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z w:val="20"/>
              </w:rPr>
              <w:t>Enron Net Works LLC</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Buying and Selling Goods and Services Using Automated Method and Apparatus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Louise J. Kitchen</w:t>
            </w:r>
          </w:p>
          <w:p>
            <w:pPr>
              <w:pStyle w:val="Normal"/>
              <w:jc w:val="center"/>
              <w:rPr>
                <w:sz w:val="20"/>
              </w:rPr>
            </w:pPr>
            <w:r>
              <w:rPr>
                <w:sz w:val="20"/>
              </w:rPr>
              <w:t>Jay C. Webb</w:t>
            </w:r>
          </w:p>
          <w:p>
            <w:pPr>
              <w:pStyle w:val="Normal"/>
              <w:jc w:val="center"/>
              <w:rPr>
                <w:sz w:val="20"/>
              </w:rPr>
            </w:pPr>
            <w:r>
              <w:rPr>
                <w:sz w:val="20"/>
              </w:rPr>
              <w:t>Marcello Romano</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09/895,092</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June 29, 2001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pacing w:val="-1"/>
                <w:sz w:val="20"/>
              </w:rPr>
              <w:t>June 30, 2000</w:t>
            </w:r>
          </w:p>
        </w:tc>
        <w:tc>
          <w:tcPr>
            <w:tcW w:w="13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z w:val="20"/>
              </w:rPr>
              <w:t>Enron Net Works LLC</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Buying and Selling Goods and Services Using Automated Method and Apparatus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Enron Net Works LLC (applicant)</w:t>
            </w:r>
          </w:p>
          <w:p>
            <w:pPr>
              <w:pStyle w:val="Normal"/>
              <w:jc w:val="center"/>
              <w:rPr>
                <w:sz w:val="20"/>
              </w:rPr>
            </w:pPr>
            <w:r>
              <w:rPr>
                <w:sz w:val="20"/>
              </w:rPr>
            </w:r>
          </w:p>
          <w:p>
            <w:pPr>
              <w:pStyle w:val="Normal"/>
              <w:jc w:val="center"/>
              <w:rPr>
                <w:sz w:val="20"/>
              </w:rPr>
            </w:pPr>
            <w:r>
              <w:rPr>
                <w:sz w:val="20"/>
              </w:rPr>
              <w:t>Inventors:</w:t>
            </w:r>
          </w:p>
          <w:p>
            <w:pPr>
              <w:pStyle w:val="Normal"/>
              <w:jc w:val="center"/>
              <w:rPr>
                <w:sz w:val="20"/>
              </w:rPr>
            </w:pPr>
            <w:r>
              <w:rPr>
                <w:sz w:val="20"/>
              </w:rPr>
              <w:t>Louise J. Kitchen</w:t>
            </w:r>
          </w:p>
          <w:p>
            <w:pPr>
              <w:pStyle w:val="Normal"/>
              <w:jc w:val="center"/>
              <w:rPr>
                <w:sz w:val="20"/>
              </w:rPr>
            </w:pPr>
            <w:r>
              <w:rPr>
                <w:sz w:val="20"/>
              </w:rPr>
              <w:t>Jay C. Webb</w:t>
            </w:r>
          </w:p>
          <w:p>
            <w:pPr>
              <w:pStyle w:val="Normal"/>
              <w:jc w:val="center"/>
              <w:rPr>
                <w:sz w:val="20"/>
              </w:rPr>
            </w:pPr>
            <w:r>
              <w:rPr>
                <w:sz w:val="20"/>
              </w:rPr>
              <w:t>Marcello Romano</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PCT/US01/41239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June 29, 2001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pacing w:val="-1"/>
                <w:sz w:val="20"/>
              </w:rPr>
              <w:t>June 30, 2000</w:t>
            </w:r>
          </w:p>
        </w:tc>
        <w:tc>
          <w:tcPr>
            <w:tcW w:w="13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jc w:val="center"/>
              <w:rPr>
                <w:spacing w:val="-1"/>
                <w:sz w:val="20"/>
              </w:rPr>
            </w:pPr>
            <w:r>
              <w:rPr>
                <w:spacing w:val="-1"/>
                <w:sz w:val="20"/>
              </w:rPr>
            </w:r>
          </w:p>
        </w:tc>
      </w:tr>
    </w:tbl>
    <w:p>
      <w:pPr>
        <w:pStyle w:val="Normal"/>
        <w:jc w:val="center"/>
        <w:rPr/>
      </w:pPr>
      <w:r>
        <w:rPr/>
      </w:r>
      <w:r>
        <w:br w:type="page"/>
      </w:r>
    </w:p>
    <w:p>
      <w:pPr>
        <w:pStyle w:val="Normal"/>
        <w:tabs>
          <w:tab w:val="clear" w:pos="720"/>
          <w:tab w:val="left" w:pos="5040" w:leader="none"/>
          <w:tab w:val="right" w:pos="8640" w:leader="none"/>
        </w:tabs>
        <w:jc w:val="center"/>
        <w:rPr>
          <w:b/>
          <w:u w:val="single"/>
        </w:rPr>
      </w:pPr>
      <w:r>
        <w:rPr>
          <w:b/>
          <w:u w:val="single"/>
        </w:rPr>
        <w:t>EXHIBIT B</w:t>
      </w:r>
    </w:p>
    <w:p>
      <w:pPr>
        <w:pStyle w:val="Normal"/>
        <w:suppressAutoHyphens w:val="true"/>
        <w:spacing w:lineRule="auto" w:line="216"/>
        <w:jc w:val="center"/>
        <w:rPr>
          <w:b/>
          <w:color w:val="000000"/>
        </w:rPr>
      </w:pPr>
      <w:r>
        <w:rPr>
          <w:b/>
          <w:color w:val="000000"/>
        </w:rPr>
        <w:t>TRADEMARK ASSIGNMENT</w:t>
      </w:r>
    </w:p>
    <w:p>
      <w:pPr>
        <w:pStyle w:val="Normal"/>
        <w:rPr>
          <w:b/>
          <w:color w:val="000000"/>
        </w:rPr>
      </w:pPr>
      <w:r>
        <w:rPr>
          <w:b/>
          <w:color w:val="000000"/>
        </w:rPr>
      </w:r>
    </w:p>
    <w:p>
      <w:pPr>
        <w:pStyle w:val="BodyText"/>
        <w:spacing w:lineRule="auto" w:line="216"/>
        <w:ind w:firstLine="720" w:end="0"/>
        <w:rPr/>
      </w:pPr>
      <w:r>
        <w:rPr/>
        <w:t>This</w:t>
      </w:r>
      <w:r>
        <w:rPr>
          <w:b/>
        </w:rPr>
        <w:t xml:space="preserve"> </w:t>
      </w:r>
      <w:r>
        <w:rPr/>
        <w:t>TRADEMARK ASSIGNMENT (</w:t>
      </w:r>
      <w:r>
        <w:rPr>
          <w:b/>
        </w:rPr>
        <w:t>“</w:t>
      </w:r>
      <w:r>
        <w:rPr>
          <w:b/>
          <w:u w:val="single"/>
        </w:rPr>
        <w:t>Trademark Assignment</w:t>
      </w:r>
      <w:r>
        <w:rPr>
          <w:b/>
        </w:rPr>
        <w:t>”</w:t>
      </w:r>
      <w:r>
        <w:rPr/>
        <w:t>) dated as of ___________ (“</w:t>
      </w:r>
      <w:r>
        <w:rPr>
          <w:b/>
          <w:u w:val="single"/>
        </w:rPr>
        <w:t>Effective Date</w:t>
      </w:r>
      <w:r>
        <w:rPr/>
        <w:t>”), is made by and between Enron. Corp, a Oregon corporation (“</w:t>
      </w:r>
      <w:r>
        <w:rPr>
          <w:b/>
          <w:u w:val="single"/>
        </w:rPr>
        <w:t>Assignor</w:t>
      </w:r>
      <w:r>
        <w:rPr/>
        <w:t>”) and _______________, a _________________ corporation (“</w:t>
      </w:r>
      <w:r>
        <w:rPr>
          <w:b/>
          <w:u w:val="single"/>
        </w:rPr>
        <w:t>Assignee</w:t>
      </w:r>
      <w:r>
        <w:rPr/>
        <w:t>”).</w:t>
      </w:r>
    </w:p>
    <w:p>
      <w:pPr>
        <w:pStyle w:val="BodyText"/>
        <w:ind w:firstLine="720" w:end="0"/>
        <w:rPr/>
      </w:pPr>
      <w:r>
        <w:rPr/>
        <w:t>WHEREAS, Assignor and Assignee have entered into an Assignment and License Agreement, pursuant to which Assignor has agreed to assign to Assignee the Marks (as defined below).</w:t>
      </w:r>
    </w:p>
    <w:p>
      <w:pPr>
        <w:pStyle w:val="BodyText"/>
        <w:ind w:firstLine="720" w:end="0"/>
        <w:rPr/>
      </w:pPr>
      <w:r>
        <w:rPr/>
        <w:t>NOW, THEREFORE, for good and valuable consideration, including the promises and covenants set forth in the Assignment of Intellectual Property, the parties agree as follows:</w:t>
      </w:r>
    </w:p>
    <w:p>
      <w:pPr>
        <w:pStyle w:val="BodyText"/>
        <w:ind w:hanging="0" w:end="0"/>
        <w:rPr>
          <w:b/>
        </w:rPr>
      </w:pPr>
      <w:r>
        <w:rPr>
          <w:b/>
        </w:rPr>
        <w:t>1.</w:t>
        <w:tab/>
        <w:t>Marks.</w:t>
      </w:r>
    </w:p>
    <w:p>
      <w:pPr>
        <w:pStyle w:val="BodyText"/>
        <w:ind w:hanging="0" w:end="0"/>
        <w:rPr/>
      </w:pPr>
      <w:r>
        <w:rPr/>
        <w:tab/>
        <w:t>“</w:t>
      </w:r>
      <w:r>
        <w:rPr>
          <w:b/>
          <w:u w:val="single"/>
        </w:rPr>
        <w:t>Marks</w:t>
      </w:r>
      <w:r>
        <w:rPr/>
        <w:t>” shall mean the trade names, trademarks, service marks, trade dresses, logos, designs and slogans, in word mark, stylized and/or design formats which are the subject of the registrations and pending applications identified in Attachment I hereto.</w:t>
      </w:r>
    </w:p>
    <w:p>
      <w:pPr>
        <w:pStyle w:val="BodyText"/>
        <w:ind w:hanging="0" w:end="0"/>
        <w:rPr>
          <w:b/>
        </w:rPr>
      </w:pPr>
      <w:r>
        <w:rPr>
          <w:b/>
        </w:rPr>
        <w:t>2.</w:t>
        <w:tab/>
        <w:t>Assignment.</w:t>
      </w:r>
    </w:p>
    <w:p>
      <w:pPr>
        <w:pStyle w:val="BodyText"/>
        <w:ind w:hanging="0" w:end="0"/>
        <w:rPr/>
      </w:pPr>
      <w:r>
        <w:rPr/>
        <w:tab/>
        <w:t xml:space="preserve">Assignor hereby assigns, transfers and conveys to Assignee all right, title and interest that Assignor may have, if any, throughout the world in and to the Marks, and the registrations and applications relating thereto, together with the goodwill of the business symbolized by the Marks and all rights, claims and privileges pertaining thereto.  </w:t>
      </w:r>
    </w:p>
    <w:p>
      <w:pPr>
        <w:pStyle w:val="BodyText"/>
        <w:ind w:firstLine="720" w:end="0"/>
        <w:rPr/>
      </w:pPr>
      <w:r>
        <w:rPr>
          <w:b/>
        </w:rPr>
        <w:t>IN WITNESS WHEREOF</w:t>
      </w:r>
      <w:r>
        <w:rPr/>
        <w:t>, the parties hereto have caused this Trademark Assignment to be executed as of the Effective Date.</w:t>
      </w:r>
    </w:p>
    <w:tbl>
      <w:tblPr>
        <w:tblW w:w="10080" w:type="dxa"/>
        <w:jc w:val="start"/>
        <w:tblInd w:w="0" w:type="dxa"/>
        <w:tblLayout w:type="fixed"/>
        <w:tblCellMar>
          <w:top w:w="0" w:type="dxa"/>
          <w:start w:w="360" w:type="dxa"/>
          <w:bottom w:w="0" w:type="dxa"/>
          <w:end w:w="360" w:type="dxa"/>
        </w:tblCellMar>
      </w:tblPr>
      <w:tblGrid>
        <w:gridCol w:w="5040"/>
        <w:gridCol w:w="5040"/>
      </w:tblGrid>
      <w:tr>
        <w:trPr/>
        <w:tc>
          <w:tcPr>
            <w:tcW w:w="5040" w:type="dxa"/>
            <w:tcBorders/>
          </w:tcPr>
          <w:p>
            <w:pPr>
              <w:pStyle w:val="Normal"/>
              <w:suppressAutoHyphens w:val="true"/>
              <w:rPr>
                <w:b/>
                <w:color w:val="000000"/>
              </w:rPr>
            </w:pPr>
            <w:r>
              <w:rPr>
                <w:b/>
                <w:color w:val="000000"/>
              </w:rPr>
              <w:t>ENRON CORP.:</w:t>
            </w:r>
          </w:p>
          <w:p>
            <w:pPr>
              <w:pStyle w:val="Normal"/>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ind w:hanging="720" w:start="720" w:end="0"/>
              <w:rPr>
                <w:color w:val="000000"/>
              </w:rPr>
            </w:pPr>
            <w:r>
              <w:rPr>
                <w:color w:val="000000"/>
              </w:rPr>
              <w:t>Title: _______________________________</w:t>
            </w:r>
          </w:p>
        </w:tc>
        <w:tc>
          <w:tcPr>
            <w:tcW w:w="5040" w:type="dxa"/>
            <w:tcBorders/>
          </w:tcPr>
          <w:p>
            <w:pPr>
              <w:pStyle w:val="Normal"/>
              <w:tabs>
                <w:tab w:val="clear" w:pos="720"/>
                <w:tab w:val="left" w:pos="4320" w:leader="none"/>
              </w:tabs>
              <w:suppressAutoHyphens w:val="true"/>
              <w:rPr>
                <w:b/>
                <w:color w:val="000000"/>
              </w:rPr>
            </w:pPr>
            <w:r>
              <w:rPr>
                <w:b/>
                <w:color w:val="000000"/>
              </w:rPr>
              <w:t>[NAME OF ASSIGNEE]</w:t>
            </w:r>
          </w:p>
          <w:p>
            <w:pPr>
              <w:pStyle w:val="Normal"/>
              <w:tabs>
                <w:tab w:val="clear" w:pos="720"/>
                <w:tab w:val="left" w:pos="4320" w:leader="none"/>
              </w:tabs>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rPr>
                <w:color w:val="000000"/>
              </w:rPr>
            </w:pPr>
            <w:r>
              <w:rPr>
                <w:color w:val="000000"/>
              </w:rPr>
              <w:t>Title: _______________________________</w:t>
            </w:r>
          </w:p>
        </w:tc>
      </w:tr>
    </w:tbl>
    <w:p>
      <w:pPr>
        <w:sectPr>
          <w:headerReference w:type="default" r:id="rId12"/>
          <w:headerReference w:type="first" r:id="rId13"/>
          <w:footerReference w:type="default" r:id="rId14"/>
          <w:footerReference w:type="first" r:id="rId15"/>
          <w:type w:val="nextPage"/>
          <w:pgSz w:w="12240" w:h="15840"/>
          <w:pgMar w:left="1440" w:right="1440" w:gutter="0" w:header="432" w:top="1296" w:footer="720" w:bottom="1296"/>
          <w:pgNumType w:start="1" w:fmt="decimal"/>
          <w:formProt w:val="false"/>
          <w:titlePg/>
          <w:textDirection w:val="lrTb"/>
          <w:docGrid w:type="default" w:linePitch="360" w:charSpace="0"/>
        </w:sectPr>
        <w:pStyle w:val="Normal"/>
        <w:rPr>
          <w:color w:val="000000"/>
        </w:rPr>
      </w:pPr>
      <w:r>
        <w:rPr>
          <w:color w:val="000000"/>
        </w:rPr>
      </w:r>
    </w:p>
    <w:p>
      <w:pPr>
        <w:pStyle w:val="Normal"/>
        <w:jc w:val="center"/>
        <w:rPr>
          <w:b/>
          <w:color w:val="000000"/>
        </w:rPr>
      </w:pPr>
      <w:r>
        <w:rPr>
          <w:b/>
          <w:color w:val="000000"/>
        </w:rPr>
        <w:t xml:space="preserve">    </w:t>
      </w:r>
      <w:r>
        <w:rPr>
          <w:b/>
          <w:color w:val="000000"/>
        </w:rPr>
        <w:t>ATTACHMENT I</w:t>
      </w:r>
    </w:p>
    <w:p>
      <w:pPr>
        <w:pStyle w:val="Normal"/>
        <w:ind w:start="-90" w:end="0"/>
        <w:rPr>
          <w:b/>
          <w:color w:val="000000"/>
        </w:rPr>
      </w:pPr>
      <w:r>
        <w:rPr>
          <w:b/>
          <w:color w:val="000000"/>
        </w:rPr>
      </w:r>
    </w:p>
    <w:p>
      <w:pPr>
        <w:pStyle w:val="Normal"/>
        <w:ind w:start="-90" w:end="0"/>
        <w:rPr/>
      </w:pPr>
      <w:r>
        <w:rPr/>
      </w:r>
    </w:p>
    <w:p>
      <w:pPr>
        <w:pStyle w:val="Normal"/>
        <w:ind w:start="-90" w:end="0"/>
        <w:rPr/>
      </w:pPr>
      <w:r>
        <w:rPr/>
      </w:r>
    </w:p>
    <w:tbl>
      <w:tblPr>
        <w:tblW w:w="10980" w:type="dxa"/>
        <w:jc w:val="start"/>
        <w:tblInd w:w="198" w:type="dxa"/>
        <w:tblLayout w:type="fixed"/>
        <w:tblCellMar>
          <w:top w:w="0" w:type="dxa"/>
          <w:start w:w="108" w:type="dxa"/>
          <w:bottom w:w="0" w:type="dxa"/>
          <w:end w:w="108" w:type="dxa"/>
        </w:tblCellMar>
      </w:tblPr>
      <w:tblGrid>
        <w:gridCol w:w="2160"/>
        <w:gridCol w:w="1170"/>
        <w:gridCol w:w="1440"/>
        <w:gridCol w:w="6210"/>
      </w:tblGrid>
      <w:tr>
        <w:trPr>
          <w:trHeight w:val="106" w:hRule="atLeast"/>
        </w:trPr>
        <w:tc>
          <w:tcPr>
            <w:tcW w:w="10980" w:type="dxa"/>
            <w:gridSpan w:val="4"/>
            <w:tcBorders>
              <w:top w:val="single" w:sz="4" w:space="0" w:color="000000"/>
              <w:start w:val="single" w:sz="4" w:space="0" w:color="000000"/>
              <w:end w:val="single" w:sz="4" w:space="0" w:color="000000"/>
            </w:tcBorders>
          </w:tcPr>
          <w:p>
            <w:pPr>
              <w:pStyle w:val="Normal"/>
              <w:jc w:val="center"/>
              <w:rPr>
                <w:b/>
                <w:sz w:val="28"/>
              </w:rPr>
            </w:pPr>
            <w:r>
              <w:rPr>
                <w:b/>
                <w:sz w:val="28"/>
              </w:rPr>
              <w:t>TRADEMARKS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Mark</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Serial 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Filing Date</w:t>
            </w:r>
          </w:p>
        </w:tc>
        <w:tc>
          <w:tcPr>
            <w:tcW w:w="621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Status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ONE STOP ENERGY SHOP</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75-832446</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10/26/99</w:t>
            </w:r>
          </w:p>
        </w:tc>
        <w:tc>
          <w:tcPr>
            <w:tcW w:w="62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request for the first extension of time to file a statement of use has been granted.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PUTTING THE ENERGY INTO </w:t>
            </w:r>
          </w:p>
          <w:p>
            <w:pPr>
              <w:pStyle w:val="Normal"/>
              <w:rPr>
                <w:sz w:val="20"/>
              </w:rPr>
            </w:pPr>
            <w:r>
              <w:rPr>
                <w:sz w:val="20"/>
              </w:rPr>
              <w:t>E-COMMERCE</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75-832534</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10/26/99</w:t>
            </w:r>
          </w:p>
        </w:tc>
        <w:tc>
          <w:tcPr>
            <w:tcW w:w="62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request for the first extension of time to file a statement of use has been granted.</w:t>
            </w:r>
          </w:p>
        </w:tc>
      </w:tr>
    </w:tbl>
    <w:p>
      <w:pPr>
        <w:sectPr>
          <w:headerReference w:type="default" r:id="rId16"/>
          <w:headerReference w:type="first" r:id="rId17"/>
          <w:footerReference w:type="default" r:id="rId18"/>
          <w:footerReference w:type="first" r:id="rId19"/>
          <w:type w:val="nextPage"/>
          <w:pgSz w:w="12240" w:h="15840"/>
          <w:pgMar w:left="720" w:right="720" w:gutter="0" w:header="432" w:top="1296" w:footer="720" w:bottom="1296"/>
          <w:pgNumType w:fmt="decimal"/>
          <w:formProt w:val="false"/>
          <w:titlePg/>
          <w:textDirection w:val="lrTb"/>
          <w:docGrid w:type="default" w:linePitch="360" w:charSpace="0"/>
        </w:sectPr>
      </w:pPr>
    </w:p>
    <w:p>
      <w:pPr>
        <w:pStyle w:val="Normal"/>
        <w:jc w:val="center"/>
        <w:rPr>
          <w:b/>
        </w:rPr>
      </w:pPr>
      <w:r>
        <w:rPr>
          <w:b/>
        </w:rPr>
        <w:t>EXHIBIT C</w:t>
      </w:r>
    </w:p>
    <w:p>
      <w:pPr>
        <w:pStyle w:val="Normal"/>
        <w:jc w:val="center"/>
        <w:rPr>
          <w:b/>
        </w:rPr>
      </w:pPr>
      <w:r>
        <w:rPr>
          <w:b/>
        </w:rPr>
      </w:r>
    </w:p>
    <w:p>
      <w:pPr>
        <w:pStyle w:val="Normal"/>
        <w:jc w:val="center"/>
        <w:rPr>
          <w:b/>
        </w:rPr>
      </w:pPr>
      <w:r>
        <w:rPr>
          <w:b/>
        </w:rPr>
        <w:t>Software</w:t>
      </w:r>
    </w:p>
    <w:p>
      <w:pPr>
        <w:pStyle w:val="Normal"/>
        <w:rPr>
          <w:b/>
        </w:rPr>
      </w:pPr>
      <w:r>
        <w:rPr>
          <w:b/>
        </w:rPr>
      </w:r>
    </w:p>
    <w:p>
      <w:pPr>
        <w:pStyle w:val="Normal"/>
        <w:rPr/>
      </w:pPr>
      <w:r>
        <w:rPr/>
      </w:r>
    </w:p>
    <w:p>
      <w:pPr>
        <w:pStyle w:val="Normal"/>
        <w:rPr/>
      </w:pPr>
      <w:r>
        <w:rPr/>
      </w:r>
    </w:p>
    <w:p>
      <w:pPr>
        <w:pStyle w:val="Normal"/>
        <w:jc w:val="center"/>
        <w:rPr/>
      </w:pPr>
      <w:r>
        <w:rPr/>
        <w:t>[Insert Software list from the appropriate disclosure schedule of the Contribution Agreement]</w:t>
      </w:r>
    </w:p>
    <w:p>
      <w:pPr>
        <w:pStyle w:val="Normal"/>
        <w:rPr/>
      </w:pPr>
      <w:r>
        <w:rPr/>
      </w:r>
    </w:p>
    <w:sectPr>
      <w:headerReference w:type="default" r:id="rId20"/>
      <w:headerReference w:type="first" r:id="rId21"/>
      <w:footerReference w:type="default" r:id="rId22"/>
      <w:footerReference w:type="first" r:id="rId23"/>
      <w:type w:val="nextPage"/>
      <w:pgSz w:w="12240" w:h="15840"/>
      <w:pgMar w:left="1440" w:right="1440" w:gutter="0" w:header="432"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NY1:\1074813\06\N1BX06!.DOC\43889.0003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NY1:\1074813\06\N1BX06!.DOC\43889.0003</w:t>
    </w:r>
    <w:r>
      <w:rPr>
        <w:rStyle w:val="TrailerWG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NY1:\1074813\06\N1BX06!.DOC\43889.0003</w:t>
    </w:r>
    <w:r>
      <w:rPr>
        <w:rStyle w:val="TrailerWGM"/>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NY1:\1074813\06\N1BX06!.DOC\43889.0003</w:t>
    </w:r>
    <w:r>
      <w:rPr>
        <w:rStyle w:val="TrailerWGM"/>
      </w:rPr>
      <w:fldChar w:fldCharType="end"/>
    </w:r>
    <w:r>
      <w:rPr/>
      <w:t xml:space="preserve"> </w:t>
    </w:r>
    <w:r>
      <w:rPr/>
      <w:tab/>
      <w:t>B-1</w:t>
    </w:r>
  </w:p>
  <w:p>
    <w:pPr>
      <w:pStyle w:val="Footer"/>
      <w:tabs>
        <w:tab w:val="clear" w:pos="4320"/>
        <w:tab w:val="center" w:pos="5040" w:leader="none"/>
        <w:tab w:val="right" w:pos="8640" w:leader="none"/>
      </w:tabs>
      <w:rPr/>
    </w:pP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NY1:\1074813\06\N1BX06!.DOC\43889.0003</w:t>
    </w:r>
    <w:r>
      <w:rPr>
        <w:rStyle w:val="TrailerWGM"/>
      </w:rPr>
      <w:fldChar w:fldCharType="end"/>
    </w:r>
    <w:r>
      <w:rPr/>
      <w:t xml:space="preserve"> </w:t>
    </w:r>
    <w:r>
      <w:rPr/>
      <w:tab/>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NY1:\1074813\06\N1BX06!.DOC\43889.0003</w:t>
    </w:r>
    <w:r>
      <w:rPr>
        <w:rStyle w:val="TrailerWGM"/>
      </w:rPr>
      <w:fldChar w:fldCharType="end"/>
    </w:r>
    <w:r>
      <w:rPr/>
      <w:t xml:space="preserve"> </w:t>
    </w:r>
    <w:r>
      <w:rPr/>
      <w:tab/>
      <w:t>B-1</w:t>
    </w:r>
  </w:p>
  <w:p>
    <w:pPr>
      <w:pStyle w:val="Footer"/>
      <w:tabs>
        <w:tab w:val="clear" w:pos="4320"/>
        <w:tab w:val="center" w:pos="5040" w:leader="none"/>
        <w:tab w:val="right" w:pos="8640" w:leader="none"/>
      </w:tabs>
      <w:rPr/>
    </w:pP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NY1:\1074813\06\N1BX06!.DOC\43889.0003</w:t>
    </w:r>
    <w:r>
      <w:rPr>
        <w:rStyle w:val="TrailerWGM"/>
      </w:rPr>
      <w:fldChar w:fldCharType="end"/>
    </w:r>
    <w:r>
      <w:rPr/>
      <w:t xml:space="preserve"> </w:t>
    </w:r>
    <w:r>
      <w:rPr/>
      <w:tab/>
    </w:r>
  </w:p>
  <w:p>
    <w:pPr>
      <w:pStyle w:val="Footer"/>
      <w:tabs>
        <w:tab w:val="clear" w:pos="4320"/>
        <w:tab w:val="center" w:pos="5040" w:leader="none"/>
        <w:tab w:val="right" w:pos="864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NY1:\1074813\06\N1BX06!.DOC\43889.0003</w:t>
    </w:r>
    <w:r>
      <w:rPr>
        <w:rStyle w:val="TrailerWGM"/>
      </w:rPr>
      <w:fldChar w:fldCharType="end"/>
    </w:r>
    <w:r>
      <w:rPr/>
      <w:t xml:space="preserve"> </w:t>
    </w:r>
    <w:r>
      <w:rPr/>
      <w:tab/>
      <w:t>B-1</w:t>
    </w:r>
  </w:p>
  <w:p>
    <w:pPr>
      <w:pStyle w:val="Footer"/>
      <w:tabs>
        <w:tab w:val="clear" w:pos="4320"/>
        <w:tab w:val="center" w:pos="5040" w:leader="none"/>
        <w:tab w:val="right" w:pos="8640" w:leader="none"/>
      </w:tabs>
      <w:rPr/>
    </w:pPr>
    <w:r>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NY1:\1074813\06\N1BX06!.DOC\43889.0003</w:t>
    </w:r>
    <w:r>
      <w:rPr>
        <w:rStyle w:val="TrailerWGM"/>
      </w:rPr>
      <w:fldChar w:fldCharType="end"/>
    </w:r>
    <w:r>
      <w:rPr/>
      <w:t xml:space="preserve"> </w:t>
    </w:r>
    <w:r>
      <w:rPr/>
      <w:tab/>
    </w:r>
  </w:p>
  <w:p>
    <w:pPr>
      <w:pStyle w:val="Footer"/>
      <w:tabs>
        <w:tab w:val="clear" w:pos="4320"/>
        <w:tab w:val="center" w:pos="5040" w:leader="none"/>
        <w:tab w:val="right" w:pos="864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NY1:\1074813\06\N1BX06!.DOC\43889.0003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WG&amp;M DRAFT - 12/143/01</w:t>
    </w:r>
  </w:p>
  <w:p>
    <w:pPr>
      <w:pStyle w:val="Header"/>
      <w:jc w:val="end"/>
      <w:rPr>
        <w:b/>
        <w:i/>
        <w:i/>
      </w:rPr>
    </w:pPr>
    <w:r>
      <w:rPr>
        <w:b/>
        <w:i/>
      </w:rPr>
      <w:t>4:03 p.m.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WG&amp;M DRAFT - 12/143/01</w:t>
    </w:r>
  </w:p>
  <w:p>
    <w:pPr>
      <w:pStyle w:val="Header"/>
      <w:jc w:val="end"/>
      <w:rPr>
        <w:b/>
        <w:i/>
        <w:i/>
      </w:rPr>
    </w:pPr>
    <w:r>
      <w:rPr>
        <w:b/>
        <w:i/>
      </w:rPr>
      <w:t>4:03 p.m.</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WG&amp;M DRAFT - 12/143/01</w:t>
    </w:r>
  </w:p>
  <w:p>
    <w:pPr>
      <w:pStyle w:val="Header"/>
      <w:jc w:val="end"/>
      <w:rPr>
        <w:b/>
        <w:i/>
        <w:i/>
      </w:rPr>
    </w:pPr>
    <w:r>
      <w:rPr>
        <w:b/>
        <w:i/>
      </w:rPr>
      <w:t>4:03 p.m.</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WG&amp;M DRAFT - 12/143/01</w:t>
    </w:r>
  </w:p>
  <w:p>
    <w:pPr>
      <w:pStyle w:val="Header"/>
      <w:jc w:val="end"/>
      <w:rPr>
        <w:b/>
        <w:i/>
        <w:i/>
      </w:rPr>
    </w:pPr>
    <w:r>
      <w:rPr>
        <w:b/>
        <w:i/>
      </w:rPr>
      <w:t>4:03 p.m.</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decimal"/>
      <w:lvlText w:val="%1."/>
      <w:lvlJc w:val="start"/>
      <w:pPr>
        <w:tabs>
          <w:tab w:val="num" w:pos="36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isLgl/>
      <w:numFmt w:val="decimal"/>
      <w:lvlText w:val="%1.%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8">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zzmpFixedCurrentTOCScheme" w:val="Legal2"/>
    <w:docVar w:name="zzmpFixedCurScheme" w:val="Leg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9z0">
    <w:name w:val="WW8Num19z0"/>
    <w:qFormat/>
    <w:rPr/>
  </w:style>
  <w:style w:type="character" w:styleId="WW8Num20z0">
    <w:name w:val="WW8Num20z0"/>
    <w:qFormat/>
    <w:rPr>
      <w:b/>
      <w:i w:val="false"/>
      <w:caps/>
      <w:strike w:val="false"/>
      <w:dstrike w:val="false"/>
      <w:outline w:val="false"/>
      <w:shadow w:val="false"/>
      <w:vanish w:val="false"/>
      <w:color w:val="auto"/>
      <w:position w:val="0"/>
      <w:sz w:val="24"/>
      <w:u w:val="none"/>
      <w:vertAlign w:val="baseline"/>
    </w:rPr>
  </w:style>
  <w:style w:type="character" w:styleId="WW8Num20z1">
    <w:name w:val="WW8Num20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9z0">
    <w:name w:val="WW8Num29z0"/>
    <w:qFormat/>
    <w:rPr>
      <w:b/>
      <w:i w:val="false"/>
      <w:caps/>
      <w:strike w:val="false"/>
      <w:dstrike w:val="false"/>
      <w:outline w:val="false"/>
      <w:shadow w:val="false"/>
      <w:vanish w:val="false"/>
      <w:color w:val="auto"/>
      <w:position w:val="0"/>
      <w:sz w:val="24"/>
      <w:u w:val="none"/>
      <w:vertAlign w:val="baseline"/>
    </w:rPr>
  </w:style>
  <w:style w:type="character" w:styleId="WW8Num29z1">
    <w:name w:val="WW8Num2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1z0">
    <w:name w:val="WW8Num31z0"/>
    <w:qFormat/>
    <w:rPr>
      <w:b w:val="false"/>
      <w:i w:val="false"/>
      <w:caps/>
      <w:strike w:val="false"/>
      <w:dstrike w:val="false"/>
      <w:outline w:val="false"/>
      <w:shadow w:val="false"/>
      <w:vanish w:val="false"/>
      <w:color w:val="auto"/>
      <w:position w:val="0"/>
      <w:sz w:val="24"/>
      <w:u w:val="none"/>
      <w:vertAlign w:val="baseline"/>
    </w:rPr>
  </w:style>
  <w:style w:type="character" w:styleId="WW8Num31z1">
    <w:name w:val="WW8Num31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2z0">
    <w:name w:val="WW8Num32z0"/>
    <w:qFormat/>
    <w:rPr>
      <w:rFonts w:ascii="Symbol" w:hAnsi="Symbol" w:cs="Symbol"/>
    </w:rPr>
  </w:style>
  <w:style w:type="character" w:styleId="DefaultParagraphFont">
    <w:name w:val="Default Paragraph Font"/>
    <w:qFormat/>
    <w:rPr/>
  </w:style>
  <w:style w:type="character" w:styleId="TrailerWGM">
    <w:name w:val="Trailer WGM"/>
    <w:basedOn w:val="DefaultParagraphFont"/>
    <w:qFormat/>
    <w:rPr>
      <w:caps/>
      <w:sz w:val="14"/>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8"/>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5"/>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6"/>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US" w:eastAsia="en-CA" w:bidi="ar-SA"/>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Continue">
    <w:name w:val="Num Continue"/>
    <w:basedOn w:val="BodyText"/>
    <w:qFormat/>
    <w:pPr/>
    <w:rPr/>
  </w:style>
  <w:style w:type="paragraph" w:styleId="Legal2L1">
    <w:name w:val="Legal2_L1"/>
    <w:basedOn w:val="Normal"/>
    <w:next w:val="NumContinue"/>
    <w:qFormat/>
    <w:pPr>
      <w:numPr>
        <w:ilvl w:val="0"/>
        <w:numId w:val="14"/>
      </w:numPr>
      <w:tabs>
        <w:tab w:val="left" w:pos="720" w:leader="none"/>
      </w:tabs>
      <w:spacing w:before="0" w:after="240"/>
      <w:outlineLvl w:val="0"/>
    </w:pPr>
    <w:rPr/>
  </w:style>
  <w:style w:type="paragraph" w:styleId="Legal2L2">
    <w:name w:val="Legal2_L2"/>
    <w:basedOn w:val="Legal2L1"/>
    <w:next w:val="NumContinue"/>
    <w:qFormat/>
    <w:pPr>
      <w:numPr>
        <w:ilvl w:val="0"/>
        <w:numId w:val="14"/>
      </w:numPr>
      <w:tabs>
        <w:tab w:val="clear" w:pos="720"/>
      </w:tabs>
      <w:outlineLvl w:val="1"/>
    </w:pPr>
    <w:rPr/>
  </w:style>
  <w:style w:type="paragraph" w:styleId="Legal2L3">
    <w:name w:val="Legal2_L3"/>
    <w:basedOn w:val="Legal2L2"/>
    <w:next w:val="NumContinue"/>
    <w:qFormat/>
    <w:pPr>
      <w:numPr>
        <w:ilvl w:val="0"/>
        <w:numId w:val="14"/>
      </w:numPr>
      <w:tabs>
        <w:tab w:val="left" w:pos="2160" w:leader="none"/>
      </w:tabs>
      <w:outlineLvl w:val="2"/>
    </w:pPr>
    <w:rPr/>
  </w:style>
  <w:style w:type="paragraph" w:styleId="Legal2L4">
    <w:name w:val="Legal2_L4"/>
    <w:basedOn w:val="Legal2L3"/>
    <w:next w:val="NumContinue"/>
    <w:qFormat/>
    <w:pPr>
      <w:numPr>
        <w:ilvl w:val="0"/>
        <w:numId w:val="14"/>
      </w:numPr>
      <w:tabs>
        <w:tab w:val="clear" w:pos="2160"/>
      </w:tabs>
      <w:outlineLvl w:val="3"/>
    </w:pPr>
    <w:rPr/>
  </w:style>
  <w:style w:type="paragraph" w:styleId="Legal2L5">
    <w:name w:val="Legal2_L5"/>
    <w:basedOn w:val="Legal2L4"/>
    <w:next w:val="NumContinue"/>
    <w:qFormat/>
    <w:pPr>
      <w:numPr>
        <w:ilvl w:val="0"/>
        <w:numId w:val="14"/>
      </w:numPr>
      <w:tabs>
        <w:tab w:val="left" w:pos="3600" w:leader="none"/>
      </w:tabs>
      <w:outlineLvl w:val="4"/>
    </w:pPr>
    <w:rPr/>
  </w:style>
  <w:style w:type="paragraph" w:styleId="Legal2L6">
    <w:name w:val="Legal2_L6"/>
    <w:basedOn w:val="Legal2L5"/>
    <w:next w:val="NumContinue"/>
    <w:qFormat/>
    <w:pPr>
      <w:numPr>
        <w:ilvl w:val="0"/>
        <w:numId w:val="14"/>
      </w:numPr>
      <w:tabs>
        <w:tab w:val="clear" w:pos="3600"/>
        <w:tab w:val="left" w:pos="4320" w:leader="none"/>
      </w:tabs>
      <w:outlineLvl w:val="5"/>
    </w:pPr>
    <w:rPr/>
  </w:style>
  <w:style w:type="paragraph" w:styleId="Legal2L7">
    <w:name w:val="Legal2_L7"/>
    <w:basedOn w:val="Legal2L6"/>
    <w:next w:val="NumContinue"/>
    <w:qFormat/>
    <w:pPr>
      <w:numPr>
        <w:ilvl w:val="0"/>
        <w:numId w:val="14"/>
      </w:numPr>
      <w:tabs>
        <w:tab w:val="clear" w:pos="4320"/>
      </w:tabs>
      <w:outlineLvl w:val="6"/>
    </w:pPr>
    <w:rPr/>
  </w:style>
  <w:style w:type="paragraph" w:styleId="Legal2L8">
    <w:name w:val="Legal2_L8"/>
    <w:basedOn w:val="Legal2L7"/>
    <w:next w:val="NumContinue"/>
    <w:qFormat/>
    <w:pPr>
      <w:numPr>
        <w:ilvl w:val="0"/>
        <w:numId w:val="14"/>
      </w:numPr>
      <w:tabs>
        <w:tab w:val="left" w:pos="1440" w:leader="none"/>
      </w:tabs>
      <w:outlineLvl w:val="7"/>
    </w:pPr>
    <w:rPr/>
  </w:style>
  <w:style w:type="paragraph" w:styleId="Legal2L9">
    <w:name w:val="Legal2_L9"/>
    <w:basedOn w:val="Legal2L8"/>
    <w:next w:val="NumContinue"/>
    <w:qFormat/>
    <w:pPr>
      <w:numPr>
        <w:ilvl w:val="0"/>
        <w:numId w:val="14"/>
      </w:numPr>
      <w:tabs>
        <w:tab w:val="clear" w:pos="1440"/>
      </w:tabs>
      <w:outlineLvl w:val="8"/>
    </w:pPr>
    <w:rPr/>
  </w:style>
  <w:style w:type="paragraph" w:styleId="Agrsv1L2">
    <w:name w:val="Agrsv1_L2"/>
    <w:basedOn w:val="Normal"/>
    <w:next w:val="NumContinue"/>
    <w:qFormat/>
    <w:pPr>
      <w:numPr>
        <w:ilvl w:val="0"/>
        <w:numId w:val="18"/>
      </w:numPr>
      <w:spacing w:before="0" w:after="240"/>
      <w:outlineLvl w:val="1"/>
    </w:pPr>
    <w:rPr/>
  </w:style>
  <w:style w:type="paragraph" w:styleId="Agrsv1L3">
    <w:name w:val="Agrsv1_L3"/>
    <w:basedOn w:val="Agrsv1L2"/>
    <w:next w:val="NumContinue"/>
    <w:qFormat/>
    <w:pPr>
      <w:numPr>
        <w:ilvl w:val="0"/>
        <w:numId w:val="18"/>
      </w:numPr>
      <w:tabs>
        <w:tab w:val="clear" w:pos="720"/>
        <w:tab w:val="left" w:pos="360" w:leader="none"/>
      </w:tabs>
      <w:outlineLvl w:val="2"/>
    </w:pPr>
    <w:rPr/>
  </w:style>
  <w:style w:type="paragraph" w:styleId="Agrsv1L4">
    <w:name w:val="Agrsv1_L4"/>
    <w:basedOn w:val="Agrsv1L3"/>
    <w:next w:val="NumContinue"/>
    <w:qFormat/>
    <w:pPr>
      <w:numPr>
        <w:ilvl w:val="0"/>
        <w:numId w:val="18"/>
      </w:numPr>
      <w:outlineLvl w:val="3"/>
    </w:pPr>
    <w:rPr/>
  </w:style>
  <w:style w:type="paragraph" w:styleId="1">
    <w:name w:val="1"/>
    <w:basedOn w:val="Normal"/>
    <w:qFormat/>
    <w:pPr>
      <w:keepLines/>
      <w:tabs>
        <w:tab w:val="clear" w:pos="720"/>
        <w:tab w:val="left" w:pos="680" w:leader="none"/>
      </w:tabs>
      <w:snapToGrid w:val="false"/>
      <w:spacing w:lineRule="atLeast" w:line="360" w:before="360" w:after="0"/>
      <w:ind w:hanging="680" w:start="680" w:end="0"/>
    </w:pPr>
    <w:rPr/>
  </w:style>
  <w:style w:type="paragraph" w:styleId="3">
    <w:name w:val="3"/>
    <w:basedOn w:val="Normal"/>
    <w:qFormat/>
    <w:pPr>
      <w:widowControl w:val="false"/>
      <w:tabs>
        <w:tab w:val="clear" w:pos="720"/>
        <w:tab w:val="left" w:pos="2041" w:leader="none"/>
      </w:tabs>
      <w:snapToGrid w:val="false"/>
      <w:spacing w:lineRule="atLeast" w:line="360"/>
      <w:ind w:hanging="680" w:start="2041" w:end="0"/>
    </w:pPr>
    <w:rPr/>
  </w:style>
  <w:style w:type="paragraph" w:styleId="2">
    <w:name w:val="2"/>
    <w:basedOn w:val="Normal"/>
    <w:qFormat/>
    <w:pPr>
      <w:widowControl w:val="false"/>
      <w:tabs>
        <w:tab w:val="clear" w:pos="720"/>
        <w:tab w:val="left" w:pos="1361" w:leader="none"/>
      </w:tabs>
      <w:snapToGrid w:val="false"/>
      <w:spacing w:lineRule="atLeast" w:line="360"/>
      <w:ind w:hanging="681" w:start="1361" w:end="0"/>
    </w:pPr>
    <w:rPr/>
  </w:style>
  <w:style w:type="paragraph" w:styleId="Agrsv1L1">
    <w:name w:val="Agrsv1_L1"/>
    <w:basedOn w:val="Normal"/>
    <w:next w:val="NumContinue"/>
    <w:qFormat/>
    <w:pPr>
      <w:numPr>
        <w:ilvl w:val="0"/>
        <w:numId w:val="14"/>
      </w:numPr>
      <w:spacing w:before="0" w:after="240"/>
      <w:outlineLvl w:val="0"/>
    </w:pPr>
    <w:rPr/>
  </w:style>
  <w:style w:type="paragraph" w:styleId="Agrsv1L5">
    <w:name w:val="Agrsv1_L5"/>
    <w:basedOn w:val="Agrsv1L4"/>
    <w:qFormat/>
    <w:pPr>
      <w:numPr>
        <w:ilvl w:val="0"/>
        <w:numId w:val="14"/>
      </w:numPr>
      <w:ind w:hanging="0" w:start="0" w:end="0"/>
      <w:jc w:val="both"/>
    </w:pPr>
    <w:rPr>
      <w:rFonts w:ascii="Arial Narrow" w:hAnsi="Arial Narrow" w:cs="Arial Narrow"/>
      <w:sz w:val="20"/>
    </w:rPr>
  </w:style>
  <w:style w:type="paragraph" w:styleId="NYCorp1L1">
    <w:name w:val="NYCorp1_L1"/>
    <w:basedOn w:val="Normal"/>
    <w:next w:val="NumContinue"/>
    <w:qFormat/>
    <w:pPr>
      <w:numPr>
        <w:ilvl w:val="0"/>
        <w:numId w:val="17"/>
      </w:numPr>
      <w:spacing w:before="0" w:after="240"/>
      <w:jc w:val="center"/>
      <w:outlineLvl w:val="0"/>
    </w:pPr>
    <w:rPr/>
  </w:style>
  <w:style w:type="paragraph" w:styleId="NYCorp1L2">
    <w:name w:val="NYCorp1_L2"/>
    <w:basedOn w:val="NYCorp1L1"/>
    <w:next w:val="NumContinue"/>
    <w:qFormat/>
    <w:pPr>
      <w:numPr>
        <w:ilvl w:val="0"/>
        <w:numId w:val="17"/>
      </w:numPr>
      <w:tabs>
        <w:tab w:val="clear" w:pos="720"/>
        <w:tab w:val="left" w:pos="1440" w:leader="none"/>
      </w:tabs>
      <w:ind w:firstLine="720" w:start="0" w:end="0"/>
      <w:jc w:val="both"/>
      <w:outlineLvl w:val="1"/>
    </w:pPr>
    <w:rPr/>
  </w:style>
  <w:style w:type="paragraph" w:styleId="NYCorp1L3">
    <w:name w:val="NYCorp1_L3"/>
    <w:basedOn w:val="NYCorp1L2"/>
    <w:next w:val="NumContinue"/>
    <w:qFormat/>
    <w:pPr>
      <w:numPr>
        <w:ilvl w:val="0"/>
        <w:numId w:val="17"/>
      </w:numPr>
      <w:tabs>
        <w:tab w:val="left" w:pos="1440" w:leader="none"/>
        <w:tab w:val="left" w:pos="1800" w:leader="none"/>
      </w:tabs>
      <w:outlineLvl w:val="2"/>
    </w:pPr>
    <w:rPr/>
  </w:style>
  <w:style w:type="paragraph" w:styleId="NYCorp1L4">
    <w:name w:val="NYCorp1_L4"/>
    <w:basedOn w:val="NYCorp1L3"/>
    <w:next w:val="NumContinue"/>
    <w:qFormat/>
    <w:pPr>
      <w:numPr>
        <w:ilvl w:val="0"/>
        <w:numId w:val="17"/>
      </w:numPr>
      <w:tabs>
        <w:tab w:val="left" w:pos="1440" w:leader="none"/>
        <w:tab w:val="left" w:pos="1800" w:leader="none"/>
        <w:tab w:val="left" w:pos="2880" w:leader="none"/>
      </w:tabs>
      <w:ind w:firstLine="2160" w:start="0" w:end="0"/>
      <w:outlineLvl w:val="3"/>
    </w:pPr>
    <w:rPr/>
  </w:style>
  <w:style w:type="paragraph" w:styleId="NYCorp1L5">
    <w:name w:val="NYCorp1_L5"/>
    <w:basedOn w:val="NYCorp1L4"/>
    <w:next w:val="NumContinue"/>
    <w:qFormat/>
    <w:pPr>
      <w:numPr>
        <w:ilvl w:val="0"/>
        <w:numId w:val="17"/>
      </w:numPr>
      <w:tabs>
        <w:tab w:val="clear" w:pos="1800"/>
        <w:tab w:val="left" w:pos="1440" w:leader="none"/>
        <w:tab w:val="left" w:pos="2880" w:leader="none"/>
        <w:tab w:val="left" w:pos="3240" w:leader="none"/>
      </w:tabs>
      <w:ind w:firstLine="2880" w:start="0" w:end="0"/>
      <w:outlineLvl w:val="4"/>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hyperlink" Target="http://www.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2001-12-13T23:56:00Z</dcterms:created>
  <dc:creator>Silicon Valley Office</dc:creator>
  <dc:description/>
  <cp:keywords>DocsOpen Name: #1074813 v6 - Enron Assignment and License Agreement</cp:keywords>
  <dc:language>en-CA</dc:language>
  <cp:lastModifiedBy>MIS</cp:lastModifiedBy>
  <cp:lastPrinted>2001-12-14T01:43:00Z</cp:lastPrinted>
  <dcterms:modified xsi:type="dcterms:W3CDTF">2001-12-14T07:34:00Z</dcterms:modified>
  <cp:revision>18</cp:revision>
  <dc:subject>DocsOpen Loc:G:\DATA\NY1\KAHN\AGR\N1BX06!.DOC</dc:subject>
  <dc:title>Local: C:\windows\TEMP\Assignment and License Agreement 2.doc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NY1:\1074813\06\N1BX06!.DOC\43889.0003</vt:lpwstr>
  </property>
</Properties>
</file>