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szCs w:val="22"/>
        </w:rPr>
      </w:pPr>
      <w:r>
        <w:rPr>
          <w:sz w:val="22"/>
          <w:szCs w:val="22"/>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sz w:val="22"/>
          <w:szCs w:val="22"/>
        </w:rPr>
      </w:pPr>
      <w:r>
        <w:rPr>
          <w:sz w:val="22"/>
          <w:szCs w:val="22"/>
        </w:rPr>
      </w:r>
    </w:p>
    <w:tbl>
      <w:tblPr>
        <w:tblW w:w="10808" w:type="dxa"/>
        <w:jc w:val="start"/>
        <w:tblInd w:w="200" w:type="dxa"/>
        <w:tblLayout w:type="fixed"/>
        <w:tblCellMar>
          <w:top w:w="0" w:type="dxa"/>
          <w:start w:w="108" w:type="dxa"/>
          <w:bottom w:w="0" w:type="dxa"/>
          <w:end w:w="108" w:type="dxa"/>
        </w:tblCellMar>
      </w:tblPr>
      <w:tblGrid>
        <w:gridCol w:w="808"/>
        <w:gridCol w:w="6045"/>
        <w:gridCol w:w="990"/>
        <w:gridCol w:w="2965"/>
      </w:tblGrid>
      <w:tr>
        <w:trPr>
          <w:trHeight w:val="240" w:hRule="exact"/>
        </w:trPr>
        <w:tc>
          <w:tcPr>
            <w:tcW w:w="808" w:type="dxa"/>
            <w:tcBorders/>
          </w:tcPr>
          <w:p>
            <w:pPr>
              <w:pStyle w:val="Normal"/>
              <w:tabs>
                <w:tab w:val="clear" w:pos="540"/>
                <w:tab w:val="left" w:pos="700" w:leader="none"/>
              </w:tabs>
              <w:ind w:start="-180" w:end="0"/>
              <w:jc w:val="end"/>
              <w:rPr>
                <w:sz w:val="20"/>
                <w:szCs w:val="14"/>
              </w:rPr>
            </w:pPr>
            <w:r>
              <w:rPr>
                <w:sz w:val="20"/>
                <w:szCs w:val="14"/>
              </w:rPr>
              <w:t>To:</w:t>
            </w:r>
          </w:p>
        </w:tc>
        <w:tc>
          <w:tcPr>
            <w:tcW w:w="6045" w:type="dxa"/>
            <w:tcBorders/>
          </w:tcPr>
          <w:p>
            <w:pPr>
              <w:pStyle w:val="To"/>
              <w:rPr>
                <w:szCs w:val="18"/>
              </w:rPr>
            </w:pPr>
            <w:r>
              <w:rPr>
                <w:szCs w:val="18"/>
              </w:rPr>
              <w:t>Distribution</w:t>
            </w:r>
          </w:p>
        </w:tc>
        <w:tc>
          <w:tcPr>
            <w:tcW w:w="3955" w:type="dxa"/>
            <w:gridSpan w:val="2"/>
            <w:tcBorders/>
          </w:tcPr>
          <w:p>
            <w:pPr>
              <w:pStyle w:val="Normal"/>
              <w:snapToGrid w:val="false"/>
              <w:rPr>
                <w:b/>
                <w:smallCaps/>
                <w:sz w:val="20"/>
                <w:szCs w:val="22"/>
              </w:rPr>
            </w:pPr>
            <w:r>
              <w:rPr>
                <w:b/>
                <w:smallCaps/>
                <w:sz w:val="20"/>
                <w:szCs w:val="22"/>
              </w:rPr>
            </w:r>
          </w:p>
        </w:tc>
      </w:tr>
      <w:tr>
        <w:trPr>
          <w:trHeight w:val="300" w:hRule="exact"/>
        </w:trPr>
        <w:tc>
          <w:tcPr>
            <w:tcW w:w="808" w:type="dxa"/>
            <w:tcBorders/>
          </w:tcPr>
          <w:p>
            <w:pPr>
              <w:pStyle w:val="Normal"/>
              <w:tabs>
                <w:tab w:val="clear" w:pos="540"/>
                <w:tab w:val="left" w:pos="700" w:leader="none"/>
              </w:tabs>
              <w:spacing w:before="120" w:after="0"/>
              <w:ind w:start="-180" w:end="0"/>
              <w:jc w:val="end"/>
              <w:rPr>
                <w:sz w:val="20"/>
                <w:szCs w:val="14"/>
              </w:rPr>
            </w:pPr>
            <w:r>
              <w:rPr>
                <w:sz w:val="20"/>
                <w:szCs w:val="14"/>
              </w:rPr>
              <w:t>From:</w:t>
            </w:r>
          </w:p>
        </w:tc>
        <w:tc>
          <w:tcPr>
            <w:tcW w:w="6045" w:type="dxa"/>
            <w:tcBorders/>
          </w:tcPr>
          <w:p>
            <w:pPr>
              <w:pStyle w:val="From"/>
              <w:spacing w:before="120" w:after="0"/>
              <w:rPr>
                <w:szCs w:val="18"/>
              </w:rPr>
            </w:pPr>
            <w:r>
              <w:rPr>
                <w:szCs w:val="18"/>
              </w:rPr>
              <w:t>Mark Haedicke/Elizabeth Sager</w:t>
            </w:r>
          </w:p>
        </w:tc>
        <w:tc>
          <w:tcPr>
            <w:tcW w:w="990" w:type="dxa"/>
            <w:tcBorders/>
          </w:tcPr>
          <w:p>
            <w:pPr>
              <w:pStyle w:val="Normal"/>
              <w:spacing w:before="120" w:after="0"/>
              <w:ind w:start="-180" w:end="0"/>
              <w:jc w:val="end"/>
              <w:rPr>
                <w:sz w:val="20"/>
                <w:szCs w:val="14"/>
              </w:rPr>
            </w:pPr>
            <w:r>
              <w:rPr>
                <w:sz w:val="20"/>
                <w:szCs w:val="14"/>
              </w:rPr>
              <w:t>Department:</w:t>
            </w:r>
          </w:p>
        </w:tc>
        <w:tc>
          <w:tcPr>
            <w:tcW w:w="2965" w:type="dxa"/>
            <w:tcBorders/>
          </w:tcPr>
          <w:p>
            <w:pPr>
              <w:pStyle w:val="Department"/>
              <w:spacing w:before="120" w:after="0"/>
              <w:rPr>
                <w:szCs w:val="18"/>
              </w:rPr>
            </w:pPr>
            <w:bookmarkStart w:id="0" w:name="From"/>
            <w:bookmarkEnd w:id="0"/>
            <w:r>
              <w:rPr>
                <w:szCs w:val="18"/>
              </w:rPr>
              <w:t>ECT Legal</w:t>
            </w:r>
          </w:p>
          <w:p>
            <w:pPr>
              <w:pStyle w:val="Department"/>
              <w:spacing w:before="120" w:after="0"/>
              <w:rPr>
                <w:szCs w:val="18"/>
              </w:rPr>
            </w:pPr>
            <w:r>
              <w:rPr>
                <w:szCs w:val="18"/>
              </w:rPr>
            </w:r>
          </w:p>
        </w:tc>
      </w:tr>
      <w:tr>
        <w:trPr>
          <w:trHeight w:val="216" w:hRule="exact"/>
        </w:trPr>
        <w:tc>
          <w:tcPr>
            <w:tcW w:w="808" w:type="dxa"/>
            <w:tcBorders/>
          </w:tcPr>
          <w:p>
            <w:pPr>
              <w:pStyle w:val="Normal"/>
              <w:tabs>
                <w:tab w:val="clear" w:pos="540"/>
                <w:tab w:val="left" w:pos="700" w:leader="none"/>
              </w:tabs>
              <w:snapToGrid w:val="false"/>
              <w:ind w:start="-180" w:end="0"/>
              <w:jc w:val="end"/>
              <w:rPr>
                <w:sz w:val="20"/>
                <w:szCs w:val="16"/>
              </w:rPr>
            </w:pPr>
            <w:r>
              <w:rPr>
                <w:sz w:val="20"/>
                <w:szCs w:val="16"/>
              </w:rPr>
            </w:r>
          </w:p>
        </w:tc>
        <w:tc>
          <w:tcPr>
            <w:tcW w:w="6045" w:type="dxa"/>
            <w:tcBorders/>
          </w:tcPr>
          <w:p>
            <w:pPr>
              <w:pStyle w:val="Normal"/>
              <w:snapToGrid w:val="false"/>
              <w:rPr>
                <w:sz w:val="20"/>
                <w:szCs w:val="16"/>
              </w:rPr>
            </w:pPr>
            <w:r>
              <w:rPr>
                <w:sz w:val="20"/>
                <w:szCs w:val="16"/>
              </w:rPr>
            </w:r>
          </w:p>
        </w:tc>
        <w:tc>
          <w:tcPr>
            <w:tcW w:w="990" w:type="dxa"/>
            <w:tcBorders/>
          </w:tcPr>
          <w:p>
            <w:pPr>
              <w:pStyle w:val="Normal"/>
              <w:snapToGrid w:val="false"/>
              <w:ind w:start="-180" w:end="0"/>
              <w:rPr>
                <w:sz w:val="20"/>
                <w:szCs w:val="16"/>
              </w:rPr>
            </w:pPr>
            <w:r>
              <w:rPr>
                <w:sz w:val="20"/>
                <w:szCs w:val="16"/>
              </w:rPr>
            </w:r>
          </w:p>
        </w:tc>
        <w:tc>
          <w:tcPr>
            <w:tcW w:w="2965" w:type="dxa"/>
            <w:tcBorders/>
          </w:tcPr>
          <w:p>
            <w:pPr>
              <w:pStyle w:val="Normal"/>
              <w:snapToGrid w:val="false"/>
              <w:rPr>
                <w:sz w:val="20"/>
                <w:szCs w:val="16"/>
              </w:rPr>
            </w:pPr>
            <w:r>
              <w:rPr>
                <w:sz w:val="20"/>
                <w:szCs w:val="16"/>
              </w:rPr>
            </w:r>
          </w:p>
        </w:tc>
      </w:tr>
      <w:tr>
        <w:trPr>
          <w:trHeight w:val="600" w:hRule="exact"/>
        </w:trPr>
        <w:tc>
          <w:tcPr>
            <w:tcW w:w="808" w:type="dxa"/>
            <w:tcBorders>
              <w:bottom w:val="single" w:sz="12" w:space="0" w:color="000000"/>
            </w:tcBorders>
          </w:tcPr>
          <w:p>
            <w:pPr>
              <w:pStyle w:val="Normal"/>
              <w:tabs>
                <w:tab w:val="clear" w:pos="540"/>
                <w:tab w:val="left" w:pos="700" w:leader="none"/>
              </w:tabs>
              <w:ind w:start="-180" w:end="0"/>
              <w:jc w:val="end"/>
              <w:rPr>
                <w:sz w:val="20"/>
                <w:szCs w:val="14"/>
              </w:rPr>
            </w:pPr>
            <w:r>
              <w:rPr>
                <w:sz w:val="20"/>
                <w:szCs w:val="14"/>
              </w:rPr>
              <w:t>Subject:</w:t>
            </w:r>
          </w:p>
        </w:tc>
        <w:tc>
          <w:tcPr>
            <w:tcW w:w="6045" w:type="dxa"/>
            <w:tcBorders>
              <w:bottom w:val="single" w:sz="12" w:space="0" w:color="000000"/>
            </w:tcBorders>
          </w:tcPr>
          <w:p>
            <w:pPr>
              <w:pStyle w:val="Subject"/>
              <w:rPr>
                <w:szCs w:val="18"/>
              </w:rPr>
            </w:pPr>
            <w:r>
              <w:rPr>
                <w:szCs w:val="18"/>
              </w:rPr>
              <w:t>Transactions with Municipalities or Other Governmental Agencies</w:t>
            </w:r>
          </w:p>
        </w:tc>
        <w:tc>
          <w:tcPr>
            <w:tcW w:w="990" w:type="dxa"/>
            <w:tcBorders>
              <w:bottom w:val="single" w:sz="12" w:space="0" w:color="000000"/>
            </w:tcBorders>
          </w:tcPr>
          <w:p>
            <w:pPr>
              <w:pStyle w:val="Normal"/>
              <w:ind w:start="-180" w:end="0"/>
              <w:jc w:val="end"/>
              <w:rPr>
                <w:sz w:val="20"/>
                <w:szCs w:val="14"/>
              </w:rPr>
            </w:pPr>
            <w:r>
              <w:rPr>
                <w:sz w:val="20"/>
                <w:szCs w:val="14"/>
              </w:rPr>
              <w:t>Date:</w:t>
            </w:r>
          </w:p>
        </w:tc>
        <w:tc>
          <w:tcPr>
            <w:tcW w:w="2965" w:type="dxa"/>
            <w:tcBorders>
              <w:bottom w:val="single" w:sz="12" w:space="0" w:color="000000"/>
            </w:tcBorders>
          </w:tcPr>
          <w:p>
            <w:pPr>
              <w:pStyle w:val="Date"/>
              <w:rPr>
                <w:szCs w:val="18"/>
              </w:rPr>
            </w:pPr>
            <w:r>
              <w:rPr>
                <w:szCs w:val="18"/>
              </w:rPr>
              <w:fldChar w:fldCharType="begin"/>
            </w:r>
            <w:r>
              <w:rPr>
                <w:szCs w:val="18"/>
              </w:rPr>
              <w:instrText xml:space="preserve"> DATE \@"MMMM\ d', 'yyyy" </w:instrText>
            </w:r>
            <w:r>
              <w:rPr>
                <w:szCs w:val="18"/>
              </w:rPr>
              <w:fldChar w:fldCharType="separate"/>
            </w:r>
            <w:r>
              <w:rPr>
                <w:szCs w:val="18"/>
              </w:rPr>
              <w:t>September 28, 2025</w:t>
            </w:r>
            <w:r>
              <w:rPr>
                <w:szCs w:val="18"/>
              </w:rPr>
              <w:fldChar w:fldCharType="end"/>
            </w:r>
          </w:p>
        </w:tc>
      </w:tr>
    </w:tbl>
    <w:p>
      <w:pPr>
        <w:pStyle w:val="Body"/>
        <w:spacing w:before="120" w:after="0"/>
        <w:ind w:firstLine="720" w:start="0" w:end="0"/>
        <w:jc w:val="both"/>
        <w:rPr>
          <w:sz w:val="21"/>
        </w:rPr>
      </w:pPr>
      <w:bookmarkStart w:id="1" w:name="StartOfMemo"/>
      <w:bookmarkEnd w:id="1"/>
      <w:r>
        <w:rPr>
          <w:sz w:val="21"/>
        </w:rPr>
        <w:t>In recent weeks, there has been a significant increase in the number of transactions between Enron North America Corp. ("ENA") and municipalities or other governmental agencies (collectively, "Municipalities").  Transacting with Municipalities is not like dealing with traditional corporate entities.  For example, unlike corporations, Municipalities do not have ostensible authority and each and every act they take must be specifically authorized pursuant to some authority.  If a Municipality enters into an agreement for which it is not authorized, the transaction will be void, even if the Municipality purported to have authority, either orally or in writing.  Further complicating the analysis is that each Municipality has different authorization procedures.  As a general note, having a "master" in place does not necessarily solve the legal issues since the authorization issues may be transaction specific.  There are numerous other legal and credit issues when dealing with Municipalities besides just authorization, and ENA Legal is in the process of determining the best procedures to put in place when dealing with Municipalities.  A more detailed analysis and policy position will be distributed after we finish our due diligence.  In the meantime, the following is the short-term policy when dealing with Municipalities:</w:t>
      </w:r>
    </w:p>
    <w:p>
      <w:pPr>
        <w:pStyle w:val="Body"/>
        <w:spacing w:before="120" w:after="0"/>
        <w:ind w:start="0" w:end="0"/>
        <w:jc w:val="both"/>
        <w:rPr>
          <w:b/>
          <w:bCs/>
          <w:sz w:val="21"/>
          <w:u w:val="single"/>
        </w:rPr>
      </w:pPr>
      <w:r>
        <w:rPr>
          <w:b/>
          <w:bCs/>
          <w:sz w:val="21"/>
          <w:u w:val="single"/>
        </w:rPr>
        <w:t>Physical Commodity Transactions</w:t>
      </w:r>
    </w:p>
    <w:p>
      <w:pPr>
        <w:pStyle w:val="Body"/>
        <w:numPr>
          <w:ilvl w:val="0"/>
          <w:numId w:val="3"/>
        </w:numPr>
        <w:spacing w:before="120" w:after="0"/>
        <w:ind w:hanging="360" w:start="360" w:end="0"/>
        <w:jc w:val="both"/>
        <w:rPr>
          <w:sz w:val="21"/>
        </w:rPr>
      </w:pPr>
      <w:r>
        <w:rPr>
          <w:sz w:val="21"/>
        </w:rPr>
        <w:t>If possible, contact ENA Legal as soon as you contemplate transacting with a Municipality.</w:t>
      </w:r>
    </w:p>
    <w:p>
      <w:pPr>
        <w:pStyle w:val="Body"/>
        <w:numPr>
          <w:ilvl w:val="0"/>
          <w:numId w:val="3"/>
        </w:numPr>
        <w:spacing w:before="120" w:after="0"/>
        <w:ind w:hanging="360" w:start="360" w:end="0"/>
        <w:jc w:val="both"/>
        <w:rPr>
          <w:sz w:val="21"/>
        </w:rPr>
      </w:pPr>
      <w:r>
        <w:rPr>
          <w:sz w:val="21"/>
        </w:rPr>
        <w:t>Transactions with Municipalities for a delivery term of one year or less are generally permissible; accordingly, while if possible we would prefer to do the diligence upfront, if such diligence is not possible due to timing issues, it is permissible at this time to transact with Municipalities for physical commodity transactions with a delivery term of one year or less without ENA Legal's prior approval.</w:t>
      </w:r>
    </w:p>
    <w:p>
      <w:pPr>
        <w:pStyle w:val="Body"/>
        <w:numPr>
          <w:ilvl w:val="0"/>
          <w:numId w:val="3"/>
        </w:numPr>
        <w:spacing w:before="120" w:after="0"/>
        <w:ind w:hanging="360" w:start="360" w:end="0"/>
        <w:jc w:val="both"/>
        <w:rPr>
          <w:sz w:val="21"/>
        </w:rPr>
      </w:pPr>
      <w:r>
        <w:rPr>
          <w:sz w:val="21"/>
        </w:rPr>
        <w:t>Do not enter into any physical commodity transactions with Municipalities with a delivery term of greater than 1 year ("Long-term Deal").  Notify ENA Legal of all potential Long-term Deals and we will conduct the appropriate due diligence.</w:t>
      </w:r>
    </w:p>
    <w:p>
      <w:pPr>
        <w:pStyle w:val="Body"/>
        <w:numPr>
          <w:ilvl w:val="0"/>
          <w:numId w:val="3"/>
        </w:numPr>
        <w:spacing w:before="120" w:after="0"/>
        <w:ind w:hanging="360" w:start="360" w:end="0"/>
        <w:jc w:val="both"/>
        <w:rPr>
          <w:sz w:val="21"/>
        </w:rPr>
      </w:pPr>
      <w:r>
        <w:rPr>
          <w:sz w:val="21"/>
        </w:rPr>
        <w:t>Notify ENA Legal if a proposed transaction with a Municipality for any reason does not "feel" right (e.g., a Municipality in California is trading a PJM product or wants to document the transaction in an unusual way).</w:t>
      </w:r>
    </w:p>
    <w:p>
      <w:pPr>
        <w:pStyle w:val="Body"/>
        <w:spacing w:before="120" w:after="0"/>
        <w:ind w:start="0" w:end="0"/>
        <w:jc w:val="both"/>
        <w:rPr>
          <w:sz w:val="21"/>
        </w:rPr>
      </w:pPr>
      <w:r>
        <w:rPr>
          <w:b/>
          <w:bCs/>
          <w:sz w:val="21"/>
          <w:u w:val="single"/>
        </w:rPr>
        <w:t>Financially-Settled Transactions</w:t>
      </w:r>
    </w:p>
    <w:p>
      <w:pPr>
        <w:pStyle w:val="Body"/>
        <w:spacing w:before="120" w:after="0"/>
        <w:ind w:start="0" w:end="0"/>
        <w:jc w:val="both"/>
        <w:rPr>
          <w:sz w:val="21"/>
        </w:rPr>
      </w:pPr>
      <w:r>
        <w:rPr>
          <w:sz w:val="21"/>
        </w:rPr>
        <w:t>The policy for financially-settled transactions needs to be different than for physically-settled transactions because while it is reasonable to assume that most Municipalities that are transacting in a physical commodity have express authorization for at least a short-term transaction, it is not necessarily the case that the Municipality will have the express authorization to conduct derivatives transactions.  Accordingly, the following is the policy with respect to financially-settled transactions:</w:t>
      </w:r>
    </w:p>
    <w:p>
      <w:pPr>
        <w:pStyle w:val="Body"/>
        <w:numPr>
          <w:ilvl w:val="0"/>
          <w:numId w:val="2"/>
        </w:numPr>
        <w:spacing w:before="120" w:after="0"/>
        <w:ind w:hanging="360" w:start="360" w:end="0"/>
        <w:jc w:val="both"/>
        <w:rPr>
          <w:sz w:val="21"/>
        </w:rPr>
      </w:pPr>
      <w:r>
        <w:rPr>
          <w:sz w:val="21"/>
        </w:rPr>
        <w:t>Do not enter into any financially-settled transactions with a Municipality without ENA Legal's prior approval unless there is a Master Agreement for financially-settled deals in place (a "Master").</w:t>
      </w:r>
    </w:p>
    <w:p>
      <w:pPr>
        <w:pStyle w:val="Body"/>
        <w:numPr>
          <w:ilvl w:val="0"/>
          <w:numId w:val="2"/>
        </w:numPr>
        <w:spacing w:before="120" w:after="0"/>
        <w:ind w:hanging="360" w:start="360" w:end="0"/>
        <w:jc w:val="both"/>
        <w:rPr>
          <w:sz w:val="21"/>
        </w:rPr>
      </w:pPr>
      <w:r>
        <w:rPr>
          <w:sz w:val="21"/>
        </w:rPr>
        <w:t>If there is a Master in place, financially-settled transactions are permissible without checking with ENA Legal.  As a note, there may be limitations on trading contained in the Master; accordingly, it is necessary to check to determine if there have been any limitations designated with a particular Municipality with whom we have a Master.</w:t>
      </w:r>
    </w:p>
    <w:p>
      <w:pPr>
        <w:pStyle w:val="Body"/>
        <w:spacing w:before="120" w:after="0"/>
        <w:ind w:start="0" w:end="0"/>
        <w:jc w:val="both"/>
        <w:rPr>
          <w:sz w:val="21"/>
        </w:rPr>
      </w:pPr>
      <w:r>
        <w:rPr>
          <w:sz w:val="21"/>
        </w:rPr>
        <w:t>If you have any questions, please contact Elizabeth Sager at extension 3-6349.</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4"/>
        <w:szCs w:val="14"/>
      </w:rPr>
    </w:pPr>
    <w:r>
      <w:rPr>
        <w:b/>
        <w:sz w:val="14"/>
        <w:szCs w:val="14"/>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spacing w:before="240" w:after="0"/>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/mnt/main-storage/datasets/enron-docs/doc/municipalities1.doc</w:t>
    </w:r>
    <w:r>
      <w:rPr>
        <w:sz w:val="12"/>
        <w:szCs w:val="12"/>
      </w:rPr>
      <w:fldChar w:fldCharType="end"/>
    </w:r>
  </w:p>
  <w:p>
    <w:pPr>
      <w:pStyle w:val="Footer"/>
      <w:tabs>
        <w:tab w:val="clear" w:pos="4320"/>
        <w:tab w:val="left" w:pos="3780" w:leader="none"/>
        <w:tab w:val="center" w:pos="7560" w:leader="none"/>
        <w:tab w:val="right" w:pos="8640" w:leader="none"/>
      </w:tabs>
      <w:rPr>
        <w:sz w:val="12"/>
        <w:szCs w:val="12"/>
      </w:rPr>
    </w:pPr>
    <w:r>
      <w:rPr>
        <w:sz w:val="12"/>
        <w:szCs w:val="12"/>
      </w:rPr>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/mnt/main-storage/datasets/enron-docs/doc/municipalities1.doc</w:t>
    </w:r>
    <w:r>
      <w:rPr>
        <w:sz w:val="12"/>
        <w:szCs w:val="12"/>
      </w:rPr>
      <w:fldChar w:fldCharType="end"/>
    </w:r>
  </w:p>
  <w:p>
    <w:pPr>
      <w:pStyle w:val="Footer"/>
      <w:tabs>
        <w:tab w:val="clear" w:pos="4320"/>
        <w:tab w:val="left" w:pos="2430" w:leader="none"/>
        <w:tab w:val="left" w:pos="5310" w:leader="none"/>
        <w:tab w:val="right" w:pos="8640" w:leader="none"/>
        <w:tab w:val="right" w:pos="10800" w:leader="none"/>
      </w:tabs>
      <w:rPr>
        <w:b/>
        <w:sz w:val="14"/>
        <w:szCs w:val="14"/>
      </w:rPr>
    </w:pPr>
    <w:r>
      <w:rPr>
        <w:b/>
        <w:sz w:val="14"/>
        <w:szCs w:val="14"/>
      </w:rPr>
    </w:r>
  </w:p>
  <w:p>
    <w:pPr>
      <w:pStyle w:val="Footer"/>
      <w:tabs>
        <w:tab w:val="clear" w:pos="4320"/>
        <w:tab w:val="left" w:pos="2430" w:leader="none"/>
        <w:tab w:val="left" w:pos="5310" w:leader="none"/>
        <w:tab w:val="right" w:pos="8640" w:leader="none"/>
        <w:tab w:val="right" w:pos="10800" w:leader="none"/>
      </w:tabs>
      <w:rPr>
        <w:sz w:val="14"/>
        <w:szCs w:val="14"/>
      </w:rPr>
    </w:pPr>
    <w:r>
      <w:rPr>
        <w:b/>
        <w:sz w:val="14"/>
        <w:szCs w:val="14"/>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90" w:leader="none"/>
      </w:tabs>
      <w:rPr/>
    </w:pPr>
    <w:r>
      <w:rPr>
        <w:sz w:val="18"/>
        <w:szCs w:val="18"/>
      </w:rPr>
      <w:t>Transactions with Municipalities or</w:t>
      <w:tab/>
    </w:r>
    <w:r>
      <w:rPr>
        <w:b/>
        <w:smallCaps/>
        <w:sz w:val="18"/>
        <w:szCs w:val="18"/>
      </w:rPr>
      <w:t>Privileged and Confidential;</w:t>
    </w:r>
  </w:p>
  <w:p>
    <w:pPr>
      <w:pStyle w:val="Header"/>
      <w:tabs>
        <w:tab w:val="clear" w:pos="4320"/>
        <w:tab w:val="clear" w:pos="8640"/>
        <w:tab w:val="center" w:pos="5040" w:leader="none"/>
        <w:tab w:val="right" w:pos="9990" w:leader="none"/>
      </w:tabs>
      <w:rPr>
        <w:sz w:val="18"/>
        <w:szCs w:val="18"/>
      </w:rPr>
    </w:pPr>
    <w:r>
      <w:rPr>
        <w:sz w:val="18"/>
        <w:szCs w:val="18"/>
      </w:rPr>
      <w:t>Other Governmental Agencies</w:t>
      <w:tab/>
    </w: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r>
      <w:rPr>
        <w:sz w:val="18"/>
        <w:szCs w:val="18"/>
      </w:rPr>
      <w:tab/>
    </w:r>
    <w:r>
      <w:rPr>
        <w:b/>
        <w:smallCaps/>
        <w:sz w:val="18"/>
        <w:szCs w:val="18"/>
      </w:rPr>
      <w:t>Attorney Client Work Product;</w:t>
    </w:r>
  </w:p>
  <w:p>
    <w:pPr>
      <w:pStyle w:val="Header"/>
      <w:tabs>
        <w:tab w:val="clear" w:pos="4320"/>
        <w:tab w:val="clear" w:pos="8640"/>
        <w:tab w:val="right" w:pos="9990" w:leader="none"/>
      </w:tabs>
      <w:spacing w:before="0" w:after="240"/>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0</w:t>
    </w:r>
    <w:r>
      <w:rPr>
        <w:sz w:val="18"/>
        <w:szCs w:val="18"/>
      </w:rPr>
      <w:fldChar w:fldCharType="end"/>
    </w:r>
    <w:r>
      <w:rPr>
        <w:sz w:val="18"/>
        <w:szCs w:val="18"/>
      </w:rPr>
      <w:tab/>
    </w:r>
    <w:r>
      <w:rPr>
        <w:b/>
        <w:smallCaps/>
        <w:sz w:val="18"/>
        <w:szCs w:val="18"/>
      </w:rPr>
      <w:t>Not Discoverable</w:t>
    </w:r>
  </w:p>
  <w:p>
    <w:pPr>
      <w:pStyle w:val="Header"/>
      <w:tabs>
        <w:tab w:val="clear" w:pos="4320"/>
        <w:tab w:val="clear" w:pos="8640"/>
        <w:tab w:val="right" w:pos="9990" w:leader="none"/>
      </w:tabs>
      <w:spacing w:before="0" w:after="240"/>
      <w:rPr>
        <w:b/>
        <w:smallCaps/>
        <w:sz w:val="18"/>
        <w:szCs w:val="18"/>
      </w:rPr>
    </w:pPr>
    <w:r>
      <w:rPr>
        <w:b/>
        <w:smallCaps/>
        <w:sz w:val="18"/>
        <w:szCs w:val="18"/>
      </w:rPr>
    </w:r>
  </w:p>
  <w:p>
    <w:pPr>
      <w:pStyle w:val="Header"/>
      <w:tabs>
        <w:tab w:val="clear" w:pos="4320"/>
        <w:tab w:val="clear" w:pos="8640"/>
        <w:tab w:val="right" w:pos="9990" w:leader="none"/>
      </w:tabs>
      <w:spacing w:before="0" w:after="240"/>
      <w:rPr>
        <w:b/>
        <w:smallCaps/>
        <w:sz w:val="18"/>
        <w:szCs w:val="18"/>
      </w:rPr>
    </w:pPr>
    <w:r>
      <w:rPr>
        <w:b/>
        <w:smallCaps/>
        <w:sz w:val="18"/>
        <w:szCs w:val="18"/>
      </w:rPr>
    </w:r>
  </w:p>
  <w:p>
    <w:pPr>
      <w:pStyle w:val="Normal"/>
      <w:rPr>
        <w:sz w:val="22"/>
        <w:szCs w:val="22"/>
      </w:rPr>
    </w:pPr>
    <w:r>
      <w:rPr>
        <w:sz w:val="22"/>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0"/>
                              <w:szCs w:val="30"/>
                            </w:rPr>
                          </w:pPr>
                          <w:r>
                            <w:rPr>
                              <w:b/>
                              <w:sz w:val="30"/>
                              <w:szCs w:val="30"/>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0"/>
                        <w:szCs w:val="30"/>
                      </w:rPr>
                    </w:pPr>
                    <w:r>
                      <w:rPr>
                        <w:b/>
                        <w:sz w:val="30"/>
                        <w:szCs w:val="30"/>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rPr/>
    </w:lvl>
  </w:abstractNum>
  <w:abstractNum w:abstractNumId="3">
    <w:lvl w:ilvl="0">
      <w:start w:val="1"/>
      <w:numFmt w:val="decimal"/>
      <w:lvlText w:val="%1."/>
      <w:lvlJc w:val="start"/>
      <w:pPr>
        <w:tabs>
          <w:tab w:val="num" w:pos="1440"/>
        </w:tabs>
        <w:ind w:start="144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2000-09-07T13:49:00Z</dcterms:created>
  <dc:creator>Jeff Ford</dc:creator>
  <dc:description/>
  <dc:language>en-CA</dc:language>
  <cp:lastModifiedBy>bwhiteh</cp:lastModifiedBy>
  <cp:lastPrinted>2000-09-08T16:06:00Z</cp:lastPrinted>
  <dcterms:modified xsi:type="dcterms:W3CDTF">2000-09-08T18:51:00Z</dcterms:modified>
  <cp:revision>15</cp:revision>
  <dc:subject>Analysis of ECT's Financial, Power and Gas Forms</dc:subject>
  <dc:title>Eron Capital &amp; Trade Resources Memo</dc:title>
</cp:coreProperties>
</file>