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440" w:leader="none"/>
          <w:tab w:val="left" w:pos="8640" w:leader="none"/>
        </w:tabs>
        <w:jc w:val="both"/>
        <w:rPr>
          <w:rFonts w:ascii="Arial" w:hAnsi="Arial" w:cs="Arial"/>
        </w:rPr>
      </w:pPr>
      <w:r>
        <w:rPr>
          <w:rFonts w:cs="Arial" w:ascii="Arial" w:hAnsi="Arial"/>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center"/>
        <w:rPr>
          <w:rFonts w:ascii="Arial" w:hAnsi="Arial" w:cs="Arial"/>
          <w:b/>
          <w:bCs/>
          <w:sz w:val="36"/>
          <w:szCs w:val="36"/>
        </w:rPr>
      </w:pPr>
      <w:r>
        <w:rPr>
          <w:rFonts w:cs="Arial" w:ascii="Arial" w:hAnsi="Arial"/>
          <w:b/>
          <w:bCs/>
          <w:sz w:val="36"/>
          <w:szCs w:val="36"/>
        </w:rPr>
        <w:t>MASTER</w:t>
      </w:r>
    </w:p>
    <w:p>
      <w:pPr>
        <w:pStyle w:val="Normal"/>
        <w:widowControl w:val="false"/>
        <w:tabs>
          <w:tab w:val="clear" w:pos="720"/>
          <w:tab w:val="left" w:pos="1440" w:leader="none"/>
          <w:tab w:val="left" w:pos="8640" w:leader="none"/>
        </w:tabs>
        <w:jc w:val="center"/>
        <w:rPr>
          <w:rFonts w:ascii="Arial" w:hAnsi="Arial" w:cs="Arial"/>
          <w:b/>
          <w:bCs/>
          <w:sz w:val="36"/>
          <w:szCs w:val="36"/>
        </w:rPr>
      </w:pPr>
      <w:r>
        <w:rPr>
          <w:rFonts w:cs="Arial" w:ascii="Arial" w:hAnsi="Arial"/>
          <w:b/>
          <w:bCs/>
          <w:sz w:val="36"/>
          <w:szCs w:val="36"/>
        </w:rPr>
        <w:br/>
        <w:t>NATURAL GAS PURCHASE AND SALE AGREEMENT</w:t>
      </w:r>
    </w:p>
    <w:p>
      <w:pPr>
        <w:pStyle w:val="Normal"/>
        <w:widowControl w:val="false"/>
        <w:tabs>
          <w:tab w:val="clear" w:pos="720"/>
          <w:tab w:val="left" w:pos="1440" w:leader="none"/>
          <w:tab w:val="left" w:pos="8640" w:leader="none"/>
        </w:tabs>
        <w:jc w:val="center"/>
        <w:rPr>
          <w:rFonts w:ascii="Arial" w:hAnsi="Arial" w:cs="Arial"/>
          <w:b/>
          <w:bCs/>
          <w:sz w:val="36"/>
          <w:szCs w:val="36"/>
        </w:rPr>
      </w:pPr>
      <w:r>
        <w:rPr>
          <w:rFonts w:cs="Arial" w:ascii="Arial" w:hAnsi="Arial"/>
          <w:b/>
          <w:bCs/>
          <w:sz w:val="36"/>
          <w:szCs w:val="36"/>
        </w:rPr>
      </w:r>
    </w:p>
    <w:p>
      <w:pPr>
        <w:pStyle w:val="Normal"/>
        <w:widowControl w:val="false"/>
        <w:tabs>
          <w:tab w:val="clear" w:pos="720"/>
          <w:tab w:val="left" w:pos="1440" w:leader="none"/>
          <w:tab w:val="left" w:pos="8640" w:leader="none"/>
        </w:tabs>
        <w:jc w:val="center"/>
        <w:rPr>
          <w:rFonts w:ascii="Arial" w:hAnsi="Arial" w:cs="Arial"/>
          <w:b/>
          <w:bCs/>
          <w:sz w:val="36"/>
          <w:szCs w:val="36"/>
        </w:rPr>
      </w:pPr>
      <w:r>
        <w:rPr>
          <w:rFonts w:cs="Arial" w:ascii="Arial" w:hAnsi="Arial"/>
          <w:b/>
          <w:bCs/>
          <w:sz w:val="36"/>
          <w:szCs w:val="36"/>
        </w:rPr>
        <w:t>Dated</w:t>
      </w:r>
    </w:p>
    <w:p>
      <w:pPr>
        <w:pStyle w:val="Normal"/>
        <w:widowControl w:val="false"/>
        <w:tabs>
          <w:tab w:val="clear" w:pos="720"/>
          <w:tab w:val="left" w:pos="1440" w:leader="none"/>
          <w:tab w:val="left" w:pos="8640" w:leader="none"/>
        </w:tabs>
        <w:jc w:val="both"/>
        <w:rPr>
          <w:rFonts w:ascii="Arial" w:hAnsi="Arial" w:cs="Arial"/>
          <w:b/>
          <w:bCs/>
          <w:sz w:val="36"/>
          <w:szCs w:val="36"/>
        </w:rPr>
      </w:pPr>
      <w:r>
        <w:rPr>
          <w:rFonts w:cs="Arial" w:ascii="Arial" w:hAnsi="Arial"/>
          <w:b/>
          <w:bCs/>
          <w:sz w:val="36"/>
          <w:szCs w:val="36"/>
        </w:rPr>
      </w:r>
    </w:p>
    <w:p>
      <w:pPr>
        <w:pStyle w:val="Normal"/>
        <w:widowControl w:val="false"/>
        <w:tabs>
          <w:tab w:val="clear" w:pos="720"/>
          <w:tab w:val="left" w:pos="1440" w:leader="none"/>
          <w:tab w:val="left" w:pos="8640" w:leader="none"/>
        </w:tabs>
        <w:jc w:val="both"/>
        <w:rPr>
          <w:rFonts w:ascii="Arial" w:hAnsi="Arial" w:cs="Arial"/>
          <w:sz w:val="36"/>
          <w:szCs w:val="36"/>
        </w:rPr>
      </w:pPr>
      <w:r>
        <w:rPr>
          <w:rFonts w:cs="Arial" w:ascii="Arial" w:hAnsi="Arial"/>
          <w:sz w:val="36"/>
          <w:szCs w:val="36"/>
        </w:rPr>
      </w:r>
    </w:p>
    <w:p>
      <w:pPr>
        <w:pStyle w:val="Normal"/>
        <w:widowControl w:val="false"/>
        <w:tabs>
          <w:tab w:val="clear" w:pos="720"/>
          <w:tab w:val="left" w:pos="1440" w:leader="none"/>
          <w:tab w:val="left" w:pos="8640" w:leader="none"/>
        </w:tabs>
        <w:jc w:val="center"/>
        <w:rPr>
          <w:rFonts w:ascii="Arial" w:hAnsi="Arial" w:cs="Arial"/>
          <w:b/>
          <w:bCs/>
          <w:sz w:val="36"/>
          <w:szCs w:val="36"/>
        </w:rPr>
      </w:pPr>
      <w:r>
        <w:rPr>
          <w:rFonts w:cs="Arial" w:ascii="Arial" w:hAnsi="Arial"/>
          <w:b/>
          <w:bCs/>
          <w:sz w:val="36"/>
          <w:szCs w:val="36"/>
        </w:rPr>
        <w:t>between</w:t>
      </w:r>
    </w:p>
    <w:p>
      <w:pPr>
        <w:pStyle w:val="Normal"/>
        <w:widowControl w:val="false"/>
        <w:tabs>
          <w:tab w:val="clear" w:pos="720"/>
          <w:tab w:val="left" w:pos="1440" w:leader="none"/>
          <w:tab w:val="left" w:pos="8640" w:leader="none"/>
        </w:tabs>
        <w:jc w:val="both"/>
        <w:rPr>
          <w:rFonts w:ascii="Arial" w:hAnsi="Arial" w:cs="Arial"/>
          <w:b/>
          <w:bCs/>
          <w:sz w:val="36"/>
          <w:szCs w:val="36"/>
        </w:rPr>
      </w:pPr>
      <w:r>
        <w:rPr>
          <w:rFonts w:cs="Arial" w:ascii="Arial" w:hAnsi="Arial"/>
          <w:b/>
          <w:bCs/>
          <w:sz w:val="36"/>
          <w:szCs w:val="36"/>
        </w:rPr>
      </w:r>
    </w:p>
    <w:p>
      <w:pPr>
        <w:pStyle w:val="Normal"/>
        <w:widowControl w:val="false"/>
        <w:tabs>
          <w:tab w:val="clear" w:pos="720"/>
          <w:tab w:val="left" w:pos="1440" w:leader="none"/>
          <w:tab w:val="left" w:pos="8640" w:leader="none"/>
        </w:tabs>
        <w:jc w:val="both"/>
        <w:rPr>
          <w:rFonts w:ascii="Arial" w:hAnsi="Arial" w:cs="Arial"/>
          <w:sz w:val="36"/>
          <w:szCs w:val="36"/>
        </w:rPr>
      </w:pPr>
      <w:r>
        <w:rPr>
          <w:rFonts w:cs="Arial" w:ascii="Arial" w:hAnsi="Arial"/>
          <w:sz w:val="36"/>
          <w:szCs w:val="36"/>
        </w:rPr>
      </w:r>
    </w:p>
    <w:p>
      <w:pPr>
        <w:pStyle w:val="Normal"/>
        <w:widowControl w:val="false"/>
        <w:tabs>
          <w:tab w:val="clear" w:pos="720"/>
          <w:tab w:val="left" w:pos="1440" w:leader="none"/>
          <w:tab w:val="left" w:pos="8640" w:leader="none"/>
        </w:tabs>
        <w:jc w:val="both"/>
        <w:rPr>
          <w:rFonts w:ascii="Arial" w:hAnsi="Arial" w:cs="Arial"/>
          <w:sz w:val="36"/>
          <w:szCs w:val="36"/>
        </w:rPr>
      </w:pPr>
      <w:r>
        <w:rPr>
          <w:rFonts w:cs="Arial" w:ascii="Arial" w:hAnsi="Arial"/>
          <w:sz w:val="36"/>
          <w:szCs w:val="36"/>
        </w:rPr>
      </w:r>
    </w:p>
    <w:p>
      <w:pPr>
        <w:pStyle w:val="Normal"/>
        <w:widowControl w:val="false"/>
        <w:tabs>
          <w:tab w:val="clear" w:pos="720"/>
          <w:tab w:val="left" w:pos="1440" w:leader="none"/>
          <w:tab w:val="left" w:pos="8640" w:leader="none"/>
        </w:tabs>
        <w:jc w:val="center"/>
        <w:rPr>
          <w:rFonts w:ascii="Arial" w:hAnsi="Arial" w:cs="Arial"/>
          <w:b/>
          <w:bCs/>
          <w:sz w:val="36"/>
          <w:szCs w:val="36"/>
        </w:rPr>
      </w:pPr>
      <w:r>
        <w:rPr>
          <w:rFonts w:cs="Arial" w:ascii="Arial" w:hAnsi="Arial"/>
          <w:b/>
          <w:bCs/>
          <w:sz w:val="36"/>
          <w:szCs w:val="36"/>
        </w:rPr>
        <w:t>EL PASO MERCHANT ENERGY, L.P.</w:t>
      </w:r>
    </w:p>
    <w:p>
      <w:pPr>
        <w:pStyle w:val="Normal"/>
        <w:widowControl w:val="false"/>
        <w:tabs>
          <w:tab w:val="clear" w:pos="720"/>
          <w:tab w:val="left" w:pos="1440" w:leader="none"/>
          <w:tab w:val="left" w:pos="8640" w:leader="none"/>
        </w:tabs>
        <w:jc w:val="both"/>
        <w:rPr>
          <w:rFonts w:ascii="Arial" w:hAnsi="Arial" w:cs="Arial"/>
          <w:b/>
          <w:bCs/>
          <w:sz w:val="36"/>
          <w:szCs w:val="36"/>
        </w:rPr>
      </w:pPr>
      <w:r>
        <w:rPr>
          <w:rFonts w:cs="Arial" w:ascii="Arial" w:hAnsi="Arial"/>
          <w:b/>
          <w:bCs/>
          <w:sz w:val="36"/>
          <w:szCs w:val="36"/>
        </w:rPr>
      </w:r>
    </w:p>
    <w:p>
      <w:pPr>
        <w:pStyle w:val="Normal"/>
        <w:widowControl w:val="false"/>
        <w:tabs>
          <w:tab w:val="clear" w:pos="720"/>
          <w:tab w:val="left" w:pos="1440" w:leader="none"/>
          <w:tab w:val="left" w:pos="8640" w:leader="none"/>
        </w:tabs>
        <w:jc w:val="both"/>
        <w:rPr>
          <w:rFonts w:ascii="Arial" w:hAnsi="Arial" w:cs="Arial"/>
          <w:sz w:val="36"/>
          <w:szCs w:val="36"/>
        </w:rPr>
      </w:pPr>
      <w:r>
        <w:rPr>
          <w:rFonts w:cs="Arial" w:ascii="Arial" w:hAnsi="Arial"/>
          <w:sz w:val="36"/>
          <w:szCs w:val="36"/>
        </w:rPr>
      </w:r>
    </w:p>
    <w:p>
      <w:pPr>
        <w:pStyle w:val="Normal"/>
        <w:widowControl w:val="false"/>
        <w:tabs>
          <w:tab w:val="clear" w:pos="720"/>
          <w:tab w:val="left" w:pos="1440" w:leader="none"/>
          <w:tab w:val="left" w:pos="8640" w:leader="none"/>
        </w:tabs>
        <w:jc w:val="center"/>
        <w:rPr>
          <w:rFonts w:ascii="Arial" w:hAnsi="Arial" w:cs="Arial"/>
          <w:b/>
          <w:bCs/>
          <w:sz w:val="36"/>
          <w:szCs w:val="36"/>
        </w:rPr>
      </w:pPr>
      <w:r>
        <w:rPr>
          <w:rFonts w:cs="Arial" w:ascii="Arial" w:hAnsi="Arial"/>
          <w:b/>
          <w:bCs/>
          <w:sz w:val="36"/>
          <w:szCs w:val="36"/>
        </w:rPr>
        <w:t>and</w:t>
      </w:r>
    </w:p>
    <w:p>
      <w:pPr>
        <w:pStyle w:val="Normal"/>
        <w:widowControl w:val="false"/>
        <w:tabs>
          <w:tab w:val="clear" w:pos="720"/>
          <w:tab w:val="left" w:pos="1440" w:leader="none"/>
          <w:tab w:val="left" w:pos="8640" w:leader="none"/>
        </w:tabs>
        <w:jc w:val="both"/>
        <w:rPr>
          <w:rFonts w:ascii="Arial" w:hAnsi="Arial" w:cs="Arial"/>
          <w:b/>
          <w:bCs/>
          <w:sz w:val="36"/>
          <w:szCs w:val="36"/>
        </w:rPr>
      </w:pPr>
      <w:r>
        <w:rPr>
          <w:rFonts w:cs="Arial" w:ascii="Arial" w:hAnsi="Arial"/>
          <w:b/>
          <w:bCs/>
          <w:sz w:val="36"/>
          <w:szCs w:val="36"/>
        </w:rPr>
      </w:r>
    </w:p>
    <w:p>
      <w:pPr>
        <w:pStyle w:val="Normal"/>
        <w:widowControl w:val="false"/>
        <w:tabs>
          <w:tab w:val="clear" w:pos="720"/>
          <w:tab w:val="left" w:pos="1440" w:leader="none"/>
          <w:tab w:val="left" w:pos="8640" w:leader="none"/>
        </w:tabs>
        <w:jc w:val="both"/>
        <w:rPr>
          <w:rFonts w:ascii="Arial" w:hAnsi="Arial" w:cs="Arial"/>
          <w:sz w:val="36"/>
          <w:szCs w:val="36"/>
        </w:rPr>
      </w:pPr>
      <w:r>
        <w:rPr>
          <w:rFonts w:cs="Arial" w:ascii="Arial" w:hAnsi="Arial"/>
          <w:sz w:val="36"/>
          <w:szCs w:val="36"/>
        </w:rPr>
      </w:r>
    </w:p>
    <w:p>
      <w:pPr>
        <w:pStyle w:val="Normal"/>
        <w:widowControl w:val="false"/>
        <w:tabs>
          <w:tab w:val="clear" w:pos="720"/>
          <w:tab w:val="left" w:pos="1440" w:leader="none"/>
          <w:tab w:val="left" w:pos="8640" w:leader="none"/>
        </w:tabs>
        <w:jc w:val="center"/>
        <w:rPr>
          <w:rFonts w:ascii="Arial" w:hAnsi="Arial" w:cs="Arial"/>
          <w:b/>
          <w:bCs/>
          <w:color w:val="FF0000"/>
          <w:sz w:val="36"/>
          <w:szCs w:val="36"/>
        </w:rPr>
      </w:pPr>
      <w:r>
        <w:rPr>
          <w:rFonts w:cs="Arial" w:ascii="Arial" w:hAnsi="Arial"/>
          <w:b/>
          <w:bCs/>
          <w:color w:val="FF0000"/>
          <w:sz w:val="36"/>
          <w:szCs w:val="36"/>
        </w:rPr>
        <w:t>C/P</w:t>
      </w:r>
    </w:p>
    <w:p>
      <w:pPr>
        <w:pStyle w:val="Normal"/>
        <w:widowControl w:val="false"/>
        <w:tabs>
          <w:tab w:val="clear" w:pos="720"/>
          <w:tab w:val="left" w:pos="1440" w:leader="none"/>
          <w:tab w:val="left" w:pos="8640" w:leader="none"/>
        </w:tabs>
        <w:jc w:val="both"/>
        <w:rPr>
          <w:rFonts w:ascii="Arial" w:hAnsi="Arial" w:cs="Arial"/>
          <w:b/>
          <w:bCs/>
          <w:color w:val="FF0000"/>
          <w:sz w:val="22"/>
          <w:szCs w:val="22"/>
        </w:rPr>
      </w:pPr>
      <w:r>
        <w:rPr>
          <w:rFonts w:cs="Arial" w:ascii="Arial" w:hAnsi="Arial"/>
          <w:b/>
          <w:bCs/>
          <w:color w:val="FF0000"/>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22"/>
          <w:szCs w:val="22"/>
        </w:rPr>
      </w:pPr>
      <w:r>
        <w:rPr>
          <w:rFonts w:cs="Arial" w:ascii="Arial" w:hAnsi="Arial"/>
          <w:sz w:val="22"/>
          <w:szCs w:val="22"/>
        </w:rPr>
      </w:r>
    </w:p>
    <w:p>
      <w:pPr>
        <w:pStyle w:val="Normal"/>
        <w:widowControl w:val="false"/>
        <w:tabs>
          <w:tab w:val="clear" w:pos="720"/>
          <w:tab w:val="left" w:pos="1440" w:leader="none"/>
          <w:tab w:val="left" w:pos="8640" w:leader="none"/>
        </w:tabs>
        <w:jc w:val="both"/>
        <w:rPr>
          <w:rFonts w:ascii="Arial" w:hAnsi="Arial" w:cs="Arial"/>
          <w:sz w:val="14"/>
          <w:szCs w:val="14"/>
        </w:rPr>
      </w:pPr>
      <w:r>
        <w:rPr>
          <w:rFonts w:cs="Arial" w:ascii="Arial" w:hAnsi="Arial"/>
          <w:sz w:val="14"/>
          <w:szCs w:val="14"/>
        </w:rPr>
      </w:r>
      <w:r>
        <w:br w:type="page"/>
      </w:r>
    </w:p>
    <w:p>
      <w:pPr>
        <w:pStyle w:val="Normal"/>
        <w:widowControl w:val="false"/>
        <w:tabs>
          <w:tab w:val="clear" w:pos="720"/>
          <w:tab w:val="left" w:pos="1440" w:leader="none"/>
          <w:tab w:val="left" w:pos="8640" w:leader="none"/>
        </w:tabs>
        <w:jc w:val="center"/>
        <w:rPr/>
      </w:pPr>
      <w:r>
        <w:rPr>
          <w:rFonts w:cs="Arial" w:ascii="Arial" w:hAnsi="Arial"/>
          <w:b/>
          <w:bCs/>
          <w:sz w:val="24"/>
          <w:szCs w:val="24"/>
        </w:rPr>
        <w:t>MASTER</w:t>
      </w:r>
      <w:r>
        <w:rPr>
          <w:rFonts w:cs="Arial" w:ascii="Arial" w:hAnsi="Arial"/>
          <w:sz w:val="22"/>
          <w:szCs w:val="22"/>
        </w:rPr>
        <w:t xml:space="preserve"> </w:t>
      </w:r>
      <w:r>
        <w:rPr>
          <w:rFonts w:cs="Arial" w:ascii="Arial" w:hAnsi="Arial"/>
          <w:b/>
          <w:bCs/>
          <w:sz w:val="24"/>
          <w:szCs w:val="24"/>
        </w:rPr>
        <w:t>NATURAL GAS PURCHASE AND SALE AGREEMENT</w:t>
      </w:r>
    </w:p>
    <w:p>
      <w:pPr>
        <w:pStyle w:val="Normal"/>
        <w:widowControl w:val="false"/>
        <w:tabs>
          <w:tab w:val="clear" w:pos="720"/>
          <w:tab w:val="left" w:pos="1440" w:leader="none"/>
          <w:tab w:val="left" w:pos="8640" w:leader="none"/>
        </w:tabs>
        <w:jc w:val="center"/>
        <w:rPr>
          <w:rFonts w:ascii="Arial" w:hAnsi="Arial" w:cs="Arial"/>
          <w:b/>
          <w:bCs/>
          <w:sz w:val="24"/>
          <w:szCs w:val="24"/>
        </w:rPr>
      </w:pPr>
      <w:r>
        <w:rPr>
          <w:rFonts w:cs="Arial" w:ascii="Arial" w:hAnsi="Arial"/>
          <w:b/>
          <w:bCs/>
          <w:sz w:val="24"/>
          <w:szCs w:val="24"/>
        </w:rPr>
      </w:r>
    </w:p>
    <w:p>
      <w:pPr>
        <w:pStyle w:val="Normal"/>
        <w:widowControl w:val="false"/>
        <w:tabs>
          <w:tab w:val="clear" w:pos="720"/>
          <w:tab w:val="left" w:pos="1440" w:leader="none"/>
          <w:tab w:val="left" w:pos="8640" w:leader="none"/>
        </w:tabs>
        <w:jc w:val="center"/>
        <w:rPr>
          <w:rFonts w:ascii="Arial" w:hAnsi="Arial" w:cs="Arial"/>
          <w:b/>
          <w:bCs/>
          <w:sz w:val="24"/>
          <w:szCs w:val="24"/>
        </w:rPr>
      </w:pPr>
      <w:r>
        <w:rPr>
          <w:rFonts w:cs="Arial" w:ascii="Arial" w:hAnsi="Arial"/>
          <w:b/>
          <w:bCs/>
          <w:sz w:val="24"/>
          <w:szCs w:val="24"/>
        </w:rPr>
        <w:t>TABLE OF CONTENTS</w:t>
      </w:r>
    </w:p>
    <w:p>
      <w:pPr>
        <w:pStyle w:val="Normal"/>
        <w:widowControl w:val="false"/>
        <w:tabs>
          <w:tab w:val="clear" w:pos="720"/>
          <w:tab w:val="left" w:pos="1440" w:leader="none"/>
          <w:tab w:val="left" w:pos="8640" w:leader="none"/>
        </w:tabs>
        <w:jc w:val="center"/>
        <w:rPr>
          <w:rFonts w:ascii="Arial" w:hAnsi="Arial" w:cs="Arial"/>
          <w:b/>
          <w:bCs/>
          <w:sz w:val="24"/>
          <w:szCs w:val="24"/>
        </w:rPr>
      </w:pPr>
      <w:r>
        <w:rPr>
          <w:rFonts w:cs="Arial" w:ascii="Arial" w:hAnsi="Arial"/>
          <w:b/>
          <w:bCs/>
          <w:sz w:val="24"/>
          <w:szCs w:val="24"/>
        </w:rPr>
      </w:r>
    </w:p>
    <w:p>
      <w:pPr>
        <w:pStyle w:val="Normal"/>
        <w:widowControl w:val="false"/>
        <w:tabs>
          <w:tab w:val="clear" w:pos="720"/>
          <w:tab w:val="left" w:pos="1440" w:leader="none"/>
          <w:tab w:val="left" w:pos="8640" w:leader="none"/>
        </w:tabs>
        <w:jc w:val="center"/>
        <w:rPr>
          <w:rFonts w:ascii="Arial" w:hAnsi="Arial" w:cs="Arial"/>
          <w:b/>
          <w:bCs/>
          <w:sz w:val="22"/>
          <w:szCs w:val="22"/>
        </w:rPr>
      </w:pPr>
      <w:r>
        <w:rPr>
          <w:rFonts w:cs="Arial" w:ascii="Arial" w:hAnsi="Arial"/>
          <w:b/>
          <w:bCs/>
          <w:sz w:val="22"/>
          <w:szCs w:val="22"/>
        </w:rPr>
      </w:r>
    </w:p>
    <w:p>
      <w:pPr>
        <w:pStyle w:val="TOC1"/>
        <w:rPr/>
      </w:pPr>
      <w:r>
        <w:rPr/>
        <w:t xml:space="preserve">ARTICLE </w:t>
      </w:r>
    </w:p>
    <w:sdt>
      <w:sdtPr>
        <w:docPartObj>
          <w:docPartGallery w:val="Table of Contents"/>
          <w:docPartUnique w:val="true"/>
        </w:docPartObj>
      </w:sdtPr>
      <w:sdtContent>
        <w:p>
          <w:pPr>
            <w:pStyle w:val="TOC1"/>
            <w:rPr/>
          </w:pPr>
          <w:r>
            <w:fldChar w:fldCharType="begin"/>
          </w:r>
          <w:r>
            <w:rPr/>
            <w:instrText xml:space="preserve"> TOC \o "1-1" </w:instrText>
          </w:r>
          <w:r>
            <w:rPr/>
            <w:fldChar w:fldCharType="separate"/>
          </w:r>
          <w:r>
            <w:rPr/>
            <w:t>1 -  PURPOSES AND PROCEDURES</w:t>
            <w:tab/>
          </w:r>
          <w:hyperlink w:anchor="__RefHeading___Toc492868468">
            <w:r>
              <w:rPr>
                <w:rStyle w:val="IndexLink"/>
              </w:rPr>
              <w:t>3</w:t>
            </w:r>
          </w:hyperlink>
        </w:p>
        <w:p>
          <w:pPr>
            <w:pStyle w:val="TOC1"/>
            <w:rPr/>
          </w:pPr>
          <w:r>
            <w:rPr/>
            <w:t>ARTICLE 2 -  DEFINITIONS</w:t>
            <w:tab/>
          </w:r>
          <w:hyperlink w:anchor="__RefHeading___Toc492868469">
            <w:r>
              <w:rPr>
                <w:rStyle w:val="IndexLink"/>
              </w:rPr>
              <w:t>4</w:t>
            </w:r>
          </w:hyperlink>
        </w:p>
        <w:p>
          <w:pPr>
            <w:pStyle w:val="TOC1"/>
            <w:rPr/>
          </w:pPr>
          <w:r>
            <w:rPr/>
            <w:t>ARTICLE 3 - TERM</w:t>
            <w:tab/>
          </w:r>
          <w:hyperlink w:anchor="__RefHeading___Toc492868470">
            <w:r>
              <w:rPr>
                <w:rStyle w:val="IndexLink"/>
              </w:rPr>
              <w:t>7</w:t>
            </w:r>
          </w:hyperlink>
        </w:p>
        <w:p>
          <w:pPr>
            <w:pStyle w:val="TOC1"/>
            <w:rPr/>
          </w:pPr>
          <w:r>
            <w:rPr/>
            <w:t>ARTICLE 4 - QUANTITY AND DELIVERY</w:t>
            <w:tab/>
          </w:r>
          <w:hyperlink w:anchor="__RefHeading___Toc492868471">
            <w:r>
              <w:rPr>
                <w:rStyle w:val="IndexLink"/>
              </w:rPr>
              <w:t>7</w:t>
            </w:r>
          </w:hyperlink>
        </w:p>
        <w:p>
          <w:pPr>
            <w:pStyle w:val="TOC1"/>
            <w:rPr/>
          </w:pPr>
          <w:r>
            <w:rPr/>
            <w:t>ARTICLE 5 – TRANSPORTATION AND IMBALANCE</w:t>
            <w:tab/>
          </w:r>
          <w:hyperlink w:anchor="__RefHeading___Toc492868472">
            <w:r>
              <w:rPr>
                <w:rStyle w:val="IndexLink"/>
              </w:rPr>
              <w:t>7</w:t>
            </w:r>
          </w:hyperlink>
        </w:p>
        <w:p>
          <w:pPr>
            <w:pStyle w:val="TOC1"/>
            <w:rPr/>
          </w:pPr>
          <w:r>
            <w:rPr/>
            <w:t>ARTICLE 6 – DELIVERY POINT</w:t>
            <w:tab/>
            <w:t>7</w:t>
          </w:r>
        </w:p>
        <w:p>
          <w:pPr>
            <w:pStyle w:val="TOC1"/>
            <w:rPr/>
          </w:pPr>
          <w:r>
            <w:rPr/>
            <w:t>ARTICLE 7 – PRICE</w:t>
            <w:tab/>
            <w:t>8</w:t>
          </w:r>
        </w:p>
        <w:p>
          <w:pPr>
            <w:pStyle w:val="TOC1"/>
            <w:rPr/>
          </w:pPr>
          <w:r>
            <w:rPr/>
            <w:t>ARTICLE 8 – FAILURE TO PERFORM</w:t>
            <w:tab/>
          </w:r>
          <w:hyperlink w:anchor="__RefHeading___Toc492868475">
            <w:r>
              <w:rPr>
                <w:rStyle w:val="IndexLink"/>
              </w:rPr>
              <w:t>8</w:t>
            </w:r>
          </w:hyperlink>
        </w:p>
        <w:p>
          <w:pPr>
            <w:pStyle w:val="TOC1"/>
            <w:rPr/>
          </w:pPr>
          <w:r>
            <w:rPr/>
            <w:t>ARTICLE 9 – FINANCIAL RESPONSIBILITY AND INFORMATION</w:t>
            <w:tab/>
            <w:t>9</w:t>
          </w:r>
        </w:p>
        <w:p>
          <w:pPr>
            <w:pStyle w:val="TOC1"/>
            <w:rPr/>
          </w:pPr>
          <w:r>
            <w:rPr/>
            <w:t>ARTICLE10 - DEFAULT AND LIQUIDATION</w:t>
            <w:tab/>
            <w:t>10</w:t>
          </w:r>
        </w:p>
        <w:p>
          <w:pPr>
            <w:pStyle w:val="TOC1"/>
            <w:rPr/>
          </w:pPr>
          <w:r>
            <w:rPr/>
            <w:t>ARTICLE 11 - MEASUREMENT</w:t>
            <w:tab/>
            <w:t>11</w:t>
          </w:r>
        </w:p>
        <w:p>
          <w:pPr>
            <w:pStyle w:val="TOC1"/>
            <w:rPr/>
          </w:pPr>
          <w:r>
            <w:rPr/>
            <w:t>ARTICLE 12 – QUALITY AND PRESSURE</w:t>
            <w:tab/>
            <w:t>11</w:t>
          </w:r>
        </w:p>
        <w:p>
          <w:pPr>
            <w:pStyle w:val="TOC1"/>
            <w:rPr/>
          </w:pPr>
          <w:r>
            <w:rPr/>
            <w:t>ARTICLE 13 – BILLING AND PAYMENT</w:t>
            <w:tab/>
            <w:t>11</w:t>
          </w:r>
        </w:p>
        <w:p>
          <w:pPr>
            <w:pStyle w:val="TOC1"/>
            <w:rPr/>
          </w:pPr>
          <w:r>
            <w:rPr/>
            <w:t>ARTICLE 14 - TAXES</w:t>
            <w:tab/>
            <w:t>12</w:t>
          </w:r>
        </w:p>
        <w:p>
          <w:pPr>
            <w:pStyle w:val="TOC1"/>
            <w:rPr/>
          </w:pPr>
          <w:r>
            <w:rPr/>
            <w:t>ARTICLE 15 – TITLE, WARRANTY AND INDEMNITY</w:t>
            <w:tab/>
            <w:t>13</w:t>
          </w:r>
        </w:p>
        <w:p>
          <w:pPr>
            <w:pStyle w:val="TOC1"/>
            <w:rPr/>
          </w:pPr>
          <w:r>
            <w:rPr/>
            <w:t>ARTICLE 16 – FORCE MAJEURE</w:t>
            <w:tab/>
            <w:t>14</w:t>
          </w:r>
        </w:p>
        <w:p>
          <w:pPr>
            <w:pStyle w:val="TOC1"/>
            <w:rPr/>
          </w:pPr>
          <w:r>
            <w:rPr/>
            <w:t>ARTICLE 17 - ASSIGNMENT AND SUCCESSION</w:t>
            <w:tab/>
            <w:t>15</w:t>
          </w:r>
        </w:p>
        <w:p>
          <w:pPr>
            <w:pStyle w:val="TOC1"/>
            <w:rPr/>
          </w:pPr>
          <w:r>
            <w:rPr/>
            <w:t>ARTICLE 18 - ARBITRATION CLAUSE</w:t>
            <w:tab/>
            <w:t>15</w:t>
          </w:r>
        </w:p>
        <w:p>
          <w:pPr>
            <w:pStyle w:val="TOC1"/>
            <w:rPr/>
          </w:pPr>
          <w:r>
            <w:rPr/>
            <w:t>ARTICLE 19 – MISCELLANEOUS</w:t>
            <w:tab/>
            <w:t>16</w:t>
          </w:r>
          <w:r>
            <w:rPr/>
            <w:fldChar w:fldCharType="end"/>
          </w:r>
        </w:p>
      </w:sdtContent>
    </w:sdt>
    <w:p>
      <w:pPr>
        <w:pStyle w:val="TOC1"/>
        <w:rPr/>
      </w:pPr>
      <w:r>
        <w:rPr>
          <w:rFonts w:eastAsia="Arial"/>
        </w:rPr>
        <w:t xml:space="preserve">                               </w:t>
      </w:r>
      <w:r>
        <w:rPr/>
        <w:t>master natural gas PURCHASE AND SALE AGREEMENT</w:t>
      </w:r>
    </w:p>
    <w:p>
      <w:pPr>
        <w:pStyle w:val="Normal"/>
        <w:widowControl w:val="false"/>
        <w:ind w:firstLine="72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THIS AGREEMENT (“Agreement”) made and entered into this 1</w:t>
      </w:r>
      <w:r>
        <w:rPr>
          <w:rFonts w:cs="Arial" w:ascii="Arial" w:hAnsi="Arial"/>
          <w:sz w:val="22"/>
          <w:szCs w:val="22"/>
          <w:vertAlign w:val="superscript"/>
        </w:rPr>
        <w:t>st</w:t>
      </w:r>
      <w:r>
        <w:rPr>
          <w:rFonts w:cs="Arial" w:ascii="Arial" w:hAnsi="Arial"/>
          <w:sz w:val="22"/>
          <w:szCs w:val="22"/>
        </w:rPr>
        <w:t xml:space="preserve"> day of, (“Effective Date”) by and between El Paso Merchant Energy, L.P., a Delaware limited partnership (“Company”), and  _______________, ______________ (“Counterparty”). Company and Counterparty are hereafter sometimes referred to individually as Party and collectively as Parties.</w:t>
      </w:r>
    </w:p>
    <w:p>
      <w:pPr>
        <w:pStyle w:val="Normal"/>
        <w:widowControl w:val="false"/>
        <w:jc w:val="both"/>
        <w:rPr>
          <w:rFonts w:ascii="Arial" w:hAnsi="Arial" w:cs="Arial"/>
          <w:sz w:val="22"/>
          <w:szCs w:val="22"/>
        </w:rPr>
      </w:pPr>
      <w:r>
        <w:rPr>
          <w:rFonts w:cs="Arial" w:ascii="Arial" w:hAnsi="Arial"/>
          <w:sz w:val="22"/>
          <w:szCs w:val="22"/>
        </w:rPr>
      </w:r>
    </w:p>
    <w:p>
      <w:pPr>
        <w:pStyle w:val="BodyText3"/>
        <w:tabs>
          <w:tab w:val="clear" w:pos="1440"/>
          <w:tab w:val="clear" w:pos="8640"/>
        </w:tabs>
        <w:ind w:firstLine="720" w:end="0"/>
        <w:rPr>
          <w:sz w:val="22"/>
          <w:szCs w:val="22"/>
        </w:rPr>
      </w:pPr>
      <w:r>
        <w:rPr>
          <w:sz w:val="22"/>
          <w:szCs w:val="22"/>
        </w:rPr>
        <w:t>Company and Counterparty may from time to time enter into Interruptible, Firm or EFP Gas Transactions (all hereinafter defined) as either Buyer or Seller pursuant to which Gas is delivered and received at one or more mutually agreeable Delivery Points.  In consideration of the mutual Agreements, covenants and conditions herein contained, the Parties agree as follows:</w:t>
      </w:r>
    </w:p>
    <w:p>
      <w:pPr>
        <w:pStyle w:val="Heading1"/>
        <w:ind w:hanging="0" w:start="0"/>
        <w:jc w:val="both"/>
        <w:rPr>
          <w:rFonts w:ascii="Arial" w:hAnsi="Arial" w:cs="Arial"/>
          <w:sz w:val="22"/>
          <w:szCs w:val="22"/>
        </w:rPr>
      </w:pPr>
      <w:bookmarkStart w:id="0" w:name="__RefHeading___Toc492868468"/>
      <w:bookmarkEnd w:id="0"/>
      <w:r>
        <w:rPr>
          <w:rFonts w:cs="Arial" w:ascii="Arial" w:hAnsi="Arial"/>
          <w:sz w:val="22"/>
          <w:szCs w:val="22"/>
        </w:rPr>
        <w:t>1.</w:t>
        <w:tab/>
        <w:t>PURPOSES AND PROCEDURES</w:t>
      </w:r>
    </w:p>
    <w:p>
      <w:pPr>
        <w:pStyle w:val="Normal"/>
        <w:jc w:val="both"/>
        <w:rPr>
          <w:rFonts w:ascii="Arial" w:hAnsi="Arial" w:cs="Arial"/>
          <w:sz w:val="22"/>
          <w:szCs w:val="22"/>
        </w:rPr>
      </w:pPr>
      <w:r>
        <w:rPr>
          <w:rFonts w:cs="Arial" w:ascii="Arial" w:hAnsi="Arial"/>
          <w:sz w:val="22"/>
          <w:szCs w:val="22"/>
        </w:rPr>
      </w:r>
    </w:p>
    <w:p>
      <w:pPr>
        <w:pStyle w:val="BodyText3"/>
        <w:widowControl/>
        <w:tabs>
          <w:tab w:val="clear" w:pos="1440"/>
          <w:tab w:val="clear" w:pos="8640"/>
        </w:tabs>
        <w:ind w:firstLine="720" w:end="0"/>
        <w:rPr>
          <w:sz w:val="22"/>
          <w:szCs w:val="22"/>
        </w:rPr>
      </w:pPr>
      <w:r>
        <w:rPr>
          <w:sz w:val="22"/>
          <w:szCs w:val="22"/>
        </w:rPr>
        <w:t>1.1</w:t>
        <w:tab/>
        <w:t>The Parties desire to set forth certain terms and conditions applicable to any future Gas Transaction(s).  Should the Parties come to an understanding regarding a particular Transaction, the Transaction will be formed and effectuated by either (a) a written Confirmation executed by the Parties (including by facsimile and/or counterparts) or (b) in a recorded telephone conversation between the Parties occurring on any Day whereby an offer and acceptance shall constitute the Agreement of the Parties to a Transaction as evidenced by a tape recording of a recorded conversation effectuated in accordance with this Article (the “Transaction Tape”). The Parties shall be legally bound by each Transaction from the time they agree to its terms in accordance with this Article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“writing” or “in writing” and to have been “signed” and any Transaction Tape shall be considered to constitute an “original” document evidencing the Transaction. Each Party consents to the recording of its employees’ telephone conversations without any further notice.</w:t>
      </w:r>
    </w:p>
    <w:p>
      <w:pPr>
        <w:pStyle w:val="BodyText3"/>
        <w:widowControl/>
        <w:tabs>
          <w:tab w:val="clear" w:pos="1440"/>
          <w:tab w:val="clear" w:pos="8640"/>
        </w:tabs>
        <w:rPr>
          <w:sz w:val="22"/>
          <w:szCs w:val="22"/>
        </w:rPr>
      </w:pPr>
      <w:r>
        <w:rPr>
          <w:sz w:val="22"/>
          <w:szCs w:val="22"/>
        </w:rPr>
      </w:r>
    </w:p>
    <w:p>
      <w:pPr>
        <w:pStyle w:val="Normal"/>
        <w:ind w:firstLine="720" w:end="0"/>
        <w:jc w:val="both"/>
        <w:rPr>
          <w:rFonts w:ascii="Arial" w:hAnsi="Arial" w:cs="Arial"/>
          <w:sz w:val="22"/>
          <w:szCs w:val="22"/>
        </w:rPr>
      </w:pPr>
      <w:r>
        <w:rPr>
          <w:rFonts w:cs="Arial" w:ascii="Arial" w:hAnsi="Arial"/>
          <w:sz w:val="22"/>
          <w:szCs w:val="22"/>
        </w:rPr>
        <w:t>1.2</w:t>
        <w:tab/>
        <w:t>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invalidated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w:hAnsi="Arial" w:cs="Arial"/>
          <w:sz w:val="22"/>
          <w:szCs w:val="22"/>
        </w:rPr>
      </w:pPr>
      <w:r>
        <w:rPr>
          <w:rFonts w:cs="Arial" w:ascii="Arial" w:hAnsi="Arial"/>
          <w:sz w:val="22"/>
          <w:szCs w:val="22"/>
        </w:rPr>
      </w:r>
    </w:p>
    <w:p>
      <w:pPr>
        <w:pStyle w:val="Normal"/>
        <w:ind w:firstLine="720" w:end="0"/>
        <w:jc w:val="both"/>
        <w:rPr>
          <w:rFonts w:ascii="Arial" w:hAnsi="Arial" w:cs="Arial"/>
          <w:sz w:val="22"/>
          <w:szCs w:val="22"/>
        </w:rPr>
      </w:pPr>
      <w:r>
        <w:rPr>
          <w:rFonts w:cs="Arial" w:ascii="Arial" w:hAnsi="Arial"/>
          <w:sz w:val="22"/>
          <w:szCs w:val="22"/>
        </w:rPr>
        <w:t>1.3</w:t>
        <w:tab/>
        <w:t xml:space="preserve">In addition to, but not in lieu of the foregoing, with the exception of any Transactions with a term of less than one calendar Month, the Parties agree that Company shall promptly confirm a recorded telephonic Transaction by forwarding to Counterparty a facsimile Confirmation Letter.  Counterparty shall not confirm any Transactions.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Confirm Deadline (unless such Confirm Deadline is not on a Business Day and in which case the objections shall be made promptly upon the beginning of the first ensuing Business Day) for all purposes hereunder and at law.  The entire Agreement between the Parties shall be those provisions contained in this Agreement, and any effective Confirmation and any applicable Transaction Tapes.  In the event of a conflict among the terms of a Confirmation and this Agreement, the Confirmation shall govern. </w:t>
      </w:r>
    </w:p>
    <w:p>
      <w:pPr>
        <w:pStyle w:val="Normal"/>
        <w:jc w:val="both"/>
        <w:rPr>
          <w:rFonts w:ascii="Arial" w:hAnsi="Arial" w:cs="Arial"/>
          <w:sz w:val="22"/>
          <w:szCs w:val="22"/>
        </w:rPr>
      </w:pPr>
      <w:r>
        <w:rPr>
          <w:rFonts w:cs="Arial" w:ascii="Arial" w:hAnsi="Arial"/>
          <w:sz w:val="22"/>
          <w:szCs w:val="22"/>
        </w:rPr>
      </w:r>
    </w:p>
    <w:p>
      <w:pPr>
        <w:pStyle w:val="BodyText3"/>
        <w:widowControl/>
        <w:tabs>
          <w:tab w:val="clear" w:pos="1440"/>
          <w:tab w:val="clear" w:pos="8640"/>
        </w:tabs>
        <w:ind w:firstLine="720" w:end="0"/>
        <w:rPr>
          <w:sz w:val="22"/>
          <w:szCs w:val="22"/>
        </w:rPr>
      </w:pPr>
      <w:r>
        <w:rPr>
          <w:sz w:val="22"/>
          <w:szCs w:val="22"/>
        </w:rPr>
        <w:t>1.4</w:t>
        <w:tab/>
        <w:t>The Parties agree not to contest or assert a defense to the validity or enforceability of telephonic Transactions entered into in accordance with this Agreement under laws relating to (a) whether certain Agreements are to be in writing or signed by the Party to be thereby bound or (b) the authority of any employee of the Party if the employee name is identified in the Transaction Tape.</w:t>
      </w:r>
    </w:p>
    <w:p>
      <w:pPr>
        <w:pStyle w:val="Heading1"/>
        <w:ind w:hanging="0" w:start="0"/>
        <w:jc w:val="both"/>
        <w:rPr>
          <w:rFonts w:ascii="Arial" w:hAnsi="Arial" w:cs="Arial"/>
          <w:sz w:val="22"/>
          <w:szCs w:val="22"/>
        </w:rPr>
      </w:pPr>
      <w:bookmarkStart w:id="1" w:name="__RefHeading___Toc492868469"/>
      <w:bookmarkEnd w:id="1"/>
      <w:r>
        <w:rPr>
          <w:rFonts w:cs="Arial" w:ascii="Arial" w:hAnsi="Arial"/>
          <w:sz w:val="22"/>
          <w:szCs w:val="22"/>
        </w:rPr>
        <w:t>2.</w:t>
        <w:tab/>
        <w:t>DEFINITIONS</w:t>
      </w:r>
    </w:p>
    <w:p>
      <w:pPr>
        <w:pStyle w:val="Normal"/>
        <w:widowControl w:val="false"/>
        <w:jc w:val="both"/>
        <w:rPr>
          <w:rFonts w:ascii="Arial" w:hAnsi="Arial" w:cs="Arial"/>
          <w:sz w:val="22"/>
          <w:szCs w:val="22"/>
        </w:rPr>
      </w:pPr>
      <w:r>
        <w:rPr>
          <w:rFonts w:cs="Arial" w:ascii="Arial" w:hAnsi="Arial"/>
          <w:sz w:val="22"/>
          <w:szCs w:val="22"/>
        </w:rPr>
      </w:r>
    </w:p>
    <w:p>
      <w:pPr>
        <w:pStyle w:val="BodyText3"/>
        <w:tabs>
          <w:tab w:val="clear" w:pos="1440"/>
          <w:tab w:val="clear" w:pos="8640"/>
        </w:tabs>
        <w:ind w:firstLine="720" w:end="0"/>
        <w:rPr/>
      </w:pPr>
      <w:r>
        <w:rPr>
          <w:sz w:val="22"/>
          <w:szCs w:val="22"/>
        </w:rPr>
        <w:t>2.1</w:t>
        <w:tab/>
        <w:t>"</w:t>
      </w:r>
      <w:r>
        <w:rPr>
          <w:sz w:val="22"/>
          <w:szCs w:val="22"/>
          <w:u w:val="single"/>
        </w:rPr>
        <w:t>Affiliate</w:t>
      </w:r>
      <w:r>
        <w:rPr>
          <w:sz w:val="22"/>
          <w:szCs w:val="22"/>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(50%) of the outstanding capital stock or other equity interests having ordinary voting power.</w:t>
      </w:r>
    </w:p>
    <w:p>
      <w:pPr>
        <w:pStyle w:val="BodyText3"/>
        <w:tabs>
          <w:tab w:val="clear" w:pos="1440"/>
          <w:tab w:val="clear" w:pos="8640"/>
        </w:tabs>
        <w:ind w:start="450" w:end="0"/>
        <w:rPr>
          <w:sz w:val="22"/>
          <w:szCs w:val="22"/>
        </w:rPr>
      </w:pPr>
      <w:r>
        <w:rPr>
          <w:sz w:val="22"/>
          <w:szCs w:val="22"/>
        </w:rPr>
      </w:r>
    </w:p>
    <w:p>
      <w:pPr>
        <w:pStyle w:val="BodyText3"/>
        <w:tabs>
          <w:tab w:val="clear" w:pos="1440"/>
          <w:tab w:val="clear" w:pos="8640"/>
        </w:tabs>
        <w:ind w:firstLine="720" w:end="0"/>
        <w:rPr/>
      </w:pPr>
      <w:r>
        <w:rPr>
          <w:sz w:val="22"/>
          <w:szCs w:val="22"/>
        </w:rPr>
        <w:t>2.2</w:t>
        <w:tab/>
        <w:t>"</w:t>
      </w:r>
      <w:r>
        <w:rPr>
          <w:sz w:val="22"/>
          <w:szCs w:val="22"/>
          <w:u w:val="single"/>
        </w:rPr>
        <w:t>Bankruptcy</w:t>
      </w:r>
      <w:r>
        <w:rPr>
          <w:sz w:val="22"/>
          <w:szCs w:val="22"/>
        </w:rPr>
        <w:t>" means with respect to a Party or entity, when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or fails or admits in writing its inability generally to pay its debts when they become due.</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2.3</w:t>
        <w:tab/>
        <w:t>"</w:t>
      </w:r>
      <w:r>
        <w:rPr>
          <w:sz w:val="22"/>
          <w:szCs w:val="22"/>
          <w:u w:val="single"/>
        </w:rPr>
        <w:t>Business Day</w:t>
      </w:r>
      <w:r>
        <w:rPr>
          <w:sz w:val="22"/>
          <w:szCs w:val="22"/>
        </w:rPr>
        <w:t>" means any Day on which Federal Reserve member banks in New York City are open for business.</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2.4</w:t>
        <w:tab/>
        <w:t>“</w:t>
      </w:r>
      <w:r>
        <w:rPr>
          <w:rFonts w:cs="Arial" w:ascii="Arial" w:hAnsi="Arial"/>
          <w:sz w:val="22"/>
          <w:szCs w:val="22"/>
          <w:u w:val="single"/>
        </w:rPr>
        <w:t>Buyer</w:t>
      </w:r>
      <w:r>
        <w:rPr>
          <w:rFonts w:cs="Arial" w:ascii="Arial" w:hAnsi="Arial"/>
          <w:sz w:val="22"/>
          <w:szCs w:val="22"/>
        </w:rPr>
        <w:t>" means the Party to a Transaction hereunder who is obligated to purchase Natural Gas during the Period of Delivery in a Transaction.</w:t>
      </w:r>
    </w:p>
    <w:p>
      <w:pPr>
        <w:pStyle w:val="Normal"/>
        <w:widowControl w:val="false"/>
        <w:jc w:val="both"/>
        <w:rPr>
          <w:rFonts w:ascii="Arial" w:hAnsi="Arial" w:cs="Arial"/>
          <w:color w:val="FF0000"/>
          <w:sz w:val="22"/>
          <w:szCs w:val="22"/>
        </w:rPr>
      </w:pPr>
      <w:r>
        <w:rPr>
          <w:rFonts w:cs="Arial" w:ascii="Arial" w:hAnsi="Arial"/>
          <w:color w:val="FF0000"/>
          <w:sz w:val="22"/>
          <w:szCs w:val="22"/>
        </w:rPr>
      </w:r>
    </w:p>
    <w:p>
      <w:pPr>
        <w:pStyle w:val="Normal"/>
        <w:widowControl w:val="false"/>
        <w:ind w:firstLine="720" w:end="0"/>
        <w:jc w:val="both"/>
        <w:rPr/>
      </w:pPr>
      <w:r>
        <w:rPr>
          <w:rFonts w:cs="Arial" w:ascii="Arial" w:hAnsi="Arial"/>
          <w:color w:val="333300"/>
          <w:sz w:val="22"/>
          <w:szCs w:val="22"/>
        </w:rPr>
        <w:t>2.5</w:t>
      </w:r>
      <w:r>
        <w:rPr>
          <w:rFonts w:cs="Arial" w:ascii="Arial" w:hAnsi="Arial"/>
          <w:color w:val="FF0000"/>
          <w:sz w:val="22"/>
          <w:szCs w:val="22"/>
        </w:rPr>
        <w:tab/>
      </w:r>
      <w:r>
        <w:rPr>
          <w:rFonts w:cs="Arial" w:ascii="Arial" w:hAnsi="Arial"/>
          <w:sz w:val="22"/>
          <w:szCs w:val="22"/>
        </w:rPr>
        <w:t>“</w:t>
      </w:r>
      <w:r>
        <w:rPr>
          <w:rFonts w:cs="Arial" w:ascii="Arial" w:hAnsi="Arial"/>
          <w:sz w:val="22"/>
          <w:szCs w:val="22"/>
          <w:u w:val="single"/>
        </w:rPr>
        <w:t>Confirm Deadline</w:t>
      </w:r>
      <w:r>
        <w:rPr>
          <w:rFonts w:cs="Arial" w:ascii="Arial" w:hAnsi="Arial"/>
          <w:sz w:val="22"/>
          <w:szCs w:val="22"/>
        </w:rPr>
        <w:t>” shall mean 5:00 p.m. in the receiving Central Time zone on the Second Business Day following the Day a Confirmation was received; provided, if the Confirmation is time stamped after 5:00 p.m. in the receiving Party’s time zone, it shall be deemed received at the opening of the next Business Day.</w:t>
      </w:r>
    </w:p>
    <w:p>
      <w:pPr>
        <w:pStyle w:val="Normal"/>
        <w:widowControl w:val="false"/>
        <w:jc w:val="both"/>
        <w:rPr>
          <w:rFonts w:ascii="Arial" w:hAnsi="Arial" w:cs="Arial"/>
          <w:sz w:val="22"/>
          <w:szCs w:val="22"/>
        </w:rPr>
      </w:pPr>
      <w:r>
        <w:rPr>
          <w:rFonts w:cs="Arial" w:ascii="Arial" w:hAnsi="Arial"/>
          <w:sz w:val="22"/>
          <w:szCs w:val="22"/>
        </w:rPr>
      </w:r>
    </w:p>
    <w:p>
      <w:pPr>
        <w:pStyle w:val="BodyText3"/>
        <w:tabs>
          <w:tab w:val="clear" w:pos="1440"/>
          <w:tab w:val="clear" w:pos="8640"/>
        </w:tabs>
        <w:ind w:firstLine="720" w:end="0"/>
        <w:rPr/>
      </w:pPr>
      <w:r>
        <w:rPr>
          <w:sz w:val="22"/>
          <w:szCs w:val="22"/>
        </w:rPr>
        <w:t>2.6</w:t>
        <w:tab/>
        <w:t>"</w:t>
      </w:r>
      <w:r>
        <w:rPr>
          <w:sz w:val="22"/>
          <w:szCs w:val="22"/>
          <w:u w:val="single"/>
        </w:rPr>
        <w:t>Confirmation</w:t>
      </w:r>
      <w:r>
        <w:rPr>
          <w:sz w:val="22"/>
          <w:szCs w:val="22"/>
        </w:rPr>
        <w:t>" means a written verification of the Transaction which Company shall transmit to Counterparty reflecting the terms of this Agreement, including the Daily Contract Quantity, Delivery Point(s), Price, Contract Period, and Receipt/Delivery Obligation.  Company will only transmit a Confirmation for Transactions that have a term of one calendar Month or greater.</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2.7</w:t>
        <w:tab/>
        <w:t>"</w:t>
      </w:r>
      <w:r>
        <w:rPr>
          <w:sz w:val="22"/>
          <w:szCs w:val="22"/>
          <w:u w:val="single"/>
        </w:rPr>
        <w:t>Contract Period</w:t>
      </w:r>
      <w:r>
        <w:rPr>
          <w:sz w:val="22"/>
          <w:szCs w:val="22"/>
        </w:rPr>
        <w:t>" means the term of any particular Transaction agreed to by the Parties.</w:t>
      </w:r>
    </w:p>
    <w:p>
      <w:pPr>
        <w:pStyle w:val="BodyText3"/>
        <w:tabs>
          <w:tab w:val="clear" w:pos="1440"/>
          <w:tab w:val="clear" w:pos="8640"/>
        </w:tabs>
        <w:rPr>
          <w:sz w:val="22"/>
          <w:szCs w:val="22"/>
        </w:rPr>
      </w:pPr>
      <w:r>
        <w:rPr>
          <w:sz w:val="22"/>
          <w:szCs w:val="22"/>
        </w:rPr>
      </w:r>
    </w:p>
    <w:p>
      <w:pPr>
        <w:pStyle w:val="BodyText3"/>
        <w:tabs>
          <w:tab w:val="clear" w:pos="1440"/>
          <w:tab w:val="clear" w:pos="8640"/>
        </w:tabs>
        <w:rPr/>
      </w:pPr>
      <w:r>
        <w:rPr>
          <w:sz w:val="22"/>
          <w:szCs w:val="22"/>
        </w:rPr>
        <w:tab/>
        <w:t>2.8</w:t>
        <w:tab/>
      </w:r>
      <w:r>
        <w:rPr>
          <w:sz w:val="22"/>
          <w:szCs w:val="22"/>
          <w:u w:val="single"/>
        </w:rPr>
        <w:t>“Credit Support”</w:t>
      </w:r>
      <w:r>
        <w:rPr>
          <w:sz w:val="22"/>
          <w:szCs w:val="22"/>
        </w:rPr>
        <w:t xml:space="preserve"> shall mean an irrevocable letter of credit, guaranty, or other good and sufficient security of a continuing nature, satisfactory to the requesting party as to form, Issuer and amount, as determined by the requesting party in its reasonable discretion. </w:t>
      </w:r>
    </w:p>
    <w:p>
      <w:pPr>
        <w:pStyle w:val="Normal"/>
        <w:widowControl w:val="false"/>
        <w:ind w:firstLine="72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2.9</w:t>
        <w:tab/>
        <w:t>“</w:t>
      </w:r>
      <w:r>
        <w:rPr>
          <w:rFonts w:cs="Arial" w:ascii="Arial" w:hAnsi="Arial"/>
          <w:sz w:val="22"/>
          <w:szCs w:val="22"/>
          <w:u w:val="single"/>
        </w:rPr>
        <w:t>Daily Contract Quantity</w:t>
      </w:r>
      <w:r>
        <w:rPr>
          <w:rFonts w:cs="Arial" w:ascii="Arial" w:hAnsi="Arial"/>
          <w:sz w:val="22"/>
          <w:szCs w:val="22"/>
        </w:rPr>
        <w:t>” (DCQ) shall mean the daily quantity agreed to by the Parties.</w:t>
      </w:r>
      <w:bookmarkStart w:id="2" w:name="DefaultTHDefinition1"/>
      <w:bookmarkEnd w:id="2"/>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2.10</w:t>
        <w:tab/>
        <w:t>“</w:t>
      </w:r>
      <w:r>
        <w:rPr>
          <w:rFonts w:cs="Arial" w:ascii="Arial" w:hAnsi="Arial"/>
          <w:sz w:val="22"/>
          <w:szCs w:val="22"/>
          <w:u w:val="single"/>
        </w:rPr>
        <w:t>Day</w:t>
      </w:r>
      <w:r>
        <w:rPr>
          <w:rFonts w:cs="Arial" w:ascii="Arial" w:hAnsi="Arial"/>
          <w:sz w:val="22"/>
          <w:szCs w:val="22"/>
        </w:rPr>
        <w:t>” shall mean the period of time defined as “day” or “daily” in the effective tariff or other operating rules, policies or procedures of the Measuring Pipeline applicable to transportation service.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2.11</w:t>
        <w:tab/>
        <w:t>“</w:t>
      </w:r>
      <w:r>
        <w:rPr>
          <w:rFonts w:cs="Arial" w:ascii="Arial" w:hAnsi="Arial"/>
          <w:sz w:val="22"/>
          <w:szCs w:val="22"/>
          <w:u w:val="single"/>
        </w:rPr>
        <w:t>Delivery Point(s)</w:t>
      </w:r>
      <w:r>
        <w:rPr>
          <w:rFonts w:cs="Arial" w:ascii="Arial" w:hAnsi="Arial"/>
          <w:sz w:val="22"/>
          <w:szCs w:val="22"/>
        </w:rPr>
        <w:t>" means the point(s) of delivery agreed to in the Transaction where Seller delivers natural Gas to Buyer.</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rFonts w:ascii="Arial" w:hAnsi="Arial" w:cs="Arial"/>
          <w:color w:val="FF0000"/>
          <w:sz w:val="22"/>
          <w:szCs w:val="22"/>
        </w:rPr>
      </w:pPr>
      <w:r>
        <w:rPr>
          <w:rFonts w:cs="Arial" w:ascii="Arial" w:hAnsi="Arial"/>
          <w:sz w:val="22"/>
          <w:szCs w:val="22"/>
        </w:rPr>
        <w:t>2.12</w:t>
        <w:tab/>
      </w:r>
      <w:r>
        <w:rPr>
          <w:rFonts w:cs="Arial" w:ascii="Arial" w:hAnsi="Arial"/>
          <w:sz w:val="22"/>
          <w:szCs w:val="22"/>
          <w:u w:val="single"/>
        </w:rPr>
        <w:t>“Eligible Collateral”</w:t>
      </w:r>
      <w:r>
        <w:rPr>
          <w:rFonts w:cs="Arial" w:ascii="Arial" w:hAnsi="Arial"/>
          <w:sz w:val="22"/>
          <w:szCs w:val="22"/>
        </w:rPr>
        <w:t xml:space="preserve"> shall mean (i) cash, (ii) Letter of Credit from a financial institution acceptable to the Beneficiary Party, or (iii) Guaranty acceptable in form and substance to the requesting Party.</w:t>
      </w:r>
    </w:p>
    <w:p>
      <w:pPr>
        <w:pStyle w:val="BodyText3"/>
        <w:widowControl/>
        <w:tabs>
          <w:tab w:val="clear" w:pos="1440"/>
          <w:tab w:val="clear" w:pos="8640"/>
        </w:tabs>
        <w:rPr>
          <w:rFonts w:ascii="Arial" w:hAnsi="Arial" w:cs="Arial"/>
          <w:color w:val="FF0000"/>
          <w:sz w:val="22"/>
          <w:szCs w:val="22"/>
        </w:rPr>
      </w:pPr>
      <w:r>
        <w:rPr>
          <w:rFonts w:cs="Arial"/>
          <w:color w:val="FF0000"/>
          <w:sz w:val="22"/>
          <w:szCs w:val="22"/>
        </w:rPr>
      </w:r>
    </w:p>
    <w:p>
      <w:pPr>
        <w:pStyle w:val="BodyText3"/>
        <w:widowControl/>
        <w:tabs>
          <w:tab w:val="clear" w:pos="1440"/>
          <w:tab w:val="clear" w:pos="8640"/>
        </w:tabs>
        <w:ind w:firstLine="720" w:end="0"/>
        <w:rPr>
          <w:sz w:val="22"/>
          <w:szCs w:val="22"/>
        </w:rPr>
      </w:pPr>
      <w:r>
        <w:rPr>
          <w:sz w:val="22"/>
          <w:szCs w:val="22"/>
        </w:rPr>
        <w:t>2.13</w:t>
        <w:tab/>
        <w:t>“</w:t>
      </w:r>
      <w:r>
        <w:rPr>
          <w:sz w:val="22"/>
          <w:szCs w:val="22"/>
          <w:u w:val="single"/>
        </w:rPr>
        <w:t>EFP</w:t>
      </w:r>
      <w:r>
        <w:rPr>
          <w:sz w:val="22"/>
          <w:szCs w:val="22"/>
        </w:rPr>
        <w:t xml:space="preserve">” shall mean exchange of futures for physicals.  EFP shall incorporate the meaning and remedies of “Firm”.  </w:t>
      </w:r>
      <w:r>
        <w:rPr>
          <w:color w:val="FF0000"/>
          <w:sz w:val="22"/>
          <w:szCs w:val="22"/>
        </w:rPr>
        <w:t xml:space="preserve"> </w:t>
      </w:r>
      <w:bookmarkStart w:id="3" w:name="EligibleCollateralDefinition1"/>
      <w:r>
        <w:rPr>
          <w:color w:val="FF0000"/>
          <w:sz w:val="22"/>
          <w:szCs w:val="22"/>
        </w:rPr>
        <w:t xml:space="preserve">   </w:t>
      </w:r>
      <w:bookmarkEnd w:id="3"/>
      <w:r>
        <w:rPr>
          <w:color w:val="FF0000"/>
          <w:sz w:val="22"/>
          <w:szCs w:val="22"/>
        </w:rPr>
        <w:t xml:space="preserve"> </w:t>
      </w:r>
      <w:bookmarkStart w:id="4" w:name="FundedDebtDefinition1"/>
      <w:r>
        <w:rPr>
          <w:color w:val="FF0000"/>
          <w:sz w:val="22"/>
          <w:szCs w:val="22"/>
        </w:rPr>
        <w:t xml:space="preserve">   </w:t>
      </w:r>
      <w:bookmarkEnd w:id="4"/>
      <w:r>
        <w:rPr>
          <w:color w:val="FF0000"/>
          <w:sz w:val="22"/>
          <w:szCs w:val="22"/>
        </w:rPr>
        <w:t xml:space="preserve"> </w:t>
      </w:r>
    </w:p>
    <w:p>
      <w:pPr>
        <w:pStyle w:val="Normal"/>
        <w:ind w:start="450" w:end="0"/>
        <w:jc w:val="both"/>
        <w:rPr>
          <w:rFonts w:ascii="Arial" w:hAnsi="Arial" w:cs="Arial"/>
          <w:sz w:val="22"/>
          <w:szCs w:val="22"/>
        </w:rPr>
      </w:pPr>
      <w:r>
        <w:rPr>
          <w:rFonts w:cs="Arial" w:ascii="Arial" w:hAnsi="Arial"/>
          <w:sz w:val="22"/>
          <w:szCs w:val="22"/>
        </w:rPr>
      </w:r>
    </w:p>
    <w:p>
      <w:pPr>
        <w:pStyle w:val="Normal"/>
        <w:ind w:firstLine="720" w:end="0"/>
        <w:jc w:val="both"/>
        <w:rPr/>
      </w:pPr>
      <w:r>
        <w:rPr>
          <w:rFonts w:cs="Arial" w:ascii="Arial" w:hAnsi="Arial"/>
          <w:sz w:val="22"/>
          <w:szCs w:val="22"/>
        </w:rPr>
        <w:t>2.14</w:t>
        <w:tab/>
        <w:t>“</w:t>
      </w:r>
      <w:r>
        <w:rPr>
          <w:rFonts w:cs="Arial" w:ascii="Arial" w:hAnsi="Arial"/>
          <w:sz w:val="22"/>
          <w:szCs w:val="22"/>
          <w:u w:val="single"/>
        </w:rPr>
        <w:t>Fair Market Price</w:t>
      </w:r>
      <w:r>
        <w:rPr>
          <w:rFonts w:cs="Arial" w:ascii="Arial" w:hAnsi="Arial"/>
          <w:sz w:val="22"/>
          <w:szCs w:val="22"/>
        </w:rPr>
        <w:t xml:space="preserve">” shall be the simple average of the High and Low Prices published for the Day in the </w:t>
      </w:r>
      <w:r>
        <w:rPr>
          <w:rFonts w:cs="Arial" w:ascii="Arial" w:hAnsi="Arial"/>
          <w:sz w:val="22"/>
          <w:szCs w:val="22"/>
          <w:u w:val="single"/>
        </w:rPr>
        <w:t>Gas Daily</w:t>
      </w:r>
      <w:r>
        <w:rPr>
          <w:rFonts w:cs="Arial" w:ascii="Arial" w:hAnsi="Arial"/>
          <w:sz w:val="22"/>
          <w:szCs w:val="22"/>
        </w:rPr>
        <w:t xml:space="preserve"> for the respective Transporter at or nearest to the respective Delivery Point(s).</w:t>
      </w:r>
    </w:p>
    <w:p>
      <w:pPr>
        <w:pStyle w:val="Normal"/>
        <w:jc w:val="both"/>
        <w:rPr>
          <w:rFonts w:ascii="Arial" w:hAnsi="Arial" w:cs="Arial"/>
          <w:sz w:val="22"/>
          <w:szCs w:val="22"/>
        </w:rPr>
      </w:pPr>
      <w:r>
        <w:rPr>
          <w:rFonts w:cs="Arial" w:ascii="Arial" w:hAnsi="Arial"/>
          <w:sz w:val="22"/>
          <w:szCs w:val="22"/>
        </w:rPr>
      </w:r>
    </w:p>
    <w:p>
      <w:pPr>
        <w:pStyle w:val="Normal"/>
        <w:ind w:firstLine="720" w:end="0"/>
        <w:jc w:val="both"/>
        <w:rPr/>
      </w:pPr>
      <w:r>
        <w:rPr>
          <w:rFonts w:cs="Arial" w:ascii="Arial" w:hAnsi="Arial"/>
          <w:sz w:val="22"/>
          <w:szCs w:val="22"/>
        </w:rPr>
        <w:t>2.15</w:t>
        <w:tab/>
        <w:t>“</w:t>
      </w:r>
      <w:r>
        <w:rPr>
          <w:rFonts w:cs="Arial" w:ascii="Arial" w:hAnsi="Arial"/>
          <w:sz w:val="22"/>
          <w:szCs w:val="22"/>
          <w:u w:val="single"/>
        </w:rPr>
        <w:t>Firm”</w:t>
      </w:r>
      <w:r>
        <w:rPr>
          <w:rFonts w:cs="Arial" w:ascii="Arial" w:hAnsi="Arial"/>
          <w:sz w:val="22"/>
          <w:szCs w:val="22"/>
        </w:rPr>
        <w:t xml:space="preserve"> shall mean that either Party may interrupt its performance without liability only to the extent that such performance is excused by the other Party’s Non-Performance or for reasons of Force Majeure; provided, however, that during Force Majeure interruptions, the Party invoking Force Majeure may be responsible for any Imbalance Charges as set forth in Article 5 related to its interruption after the nomination is made to the Transporter and until the change in deliveries and/or receipts is confirmed by the Transporter.</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ind w:firstLine="720" w:end="0"/>
        <w:jc w:val="both"/>
        <w:rPr/>
      </w:pPr>
      <w:r>
        <w:rPr>
          <w:rFonts w:cs="Arial" w:ascii="Arial" w:hAnsi="Arial"/>
          <w:sz w:val="22"/>
          <w:szCs w:val="22"/>
        </w:rPr>
        <w:t>2.16</w:t>
        <w:tab/>
        <w:t>"</w:t>
      </w:r>
      <w:r>
        <w:rPr>
          <w:rFonts w:cs="Arial" w:ascii="Arial" w:hAnsi="Arial"/>
          <w:sz w:val="22"/>
          <w:szCs w:val="22"/>
          <w:u w:val="single"/>
        </w:rPr>
        <w:t>GAAP</w:t>
      </w:r>
      <w:r>
        <w:rPr>
          <w:rFonts w:cs="Arial" w:ascii="Arial" w:hAnsi="Arial"/>
          <w:sz w:val="22"/>
          <w:szCs w:val="22"/>
        </w:rPr>
        <w:t>" means an accounting standard known as Generally Accepted Accounting Principles.</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2.17</w:t>
        <w:tab/>
        <w:t>“</w:t>
      </w:r>
      <w:r>
        <w:rPr>
          <w:rFonts w:cs="Arial" w:ascii="Arial" w:hAnsi="Arial"/>
          <w:sz w:val="22"/>
          <w:szCs w:val="22"/>
          <w:u w:val="single"/>
        </w:rPr>
        <w:t>Gas</w:t>
      </w:r>
      <w:r>
        <w:rPr>
          <w:rFonts w:cs="Arial" w:ascii="Arial" w:hAnsi="Arial"/>
          <w:sz w:val="22"/>
          <w:szCs w:val="22"/>
        </w:rPr>
        <w:t xml:space="preserve">” shall mean and include all vapor phase hydrocarbons and gaseous substances consisting primarily of methane. </w:t>
      </w:r>
      <w:bookmarkStart w:id="5" w:name="GuarantorDefinition1"/>
      <w:r>
        <w:rPr>
          <w:rFonts w:cs="Arial" w:ascii="Arial" w:hAnsi="Arial"/>
          <w:color w:val="FF0000"/>
          <w:sz w:val="22"/>
          <w:szCs w:val="22"/>
        </w:rPr>
        <w:t xml:space="preserve">  </w:t>
      </w:r>
      <w:bookmarkEnd w:id="5"/>
      <w:r>
        <w:rPr>
          <w:rFonts w:cs="Arial" w:ascii="Arial" w:hAnsi="Arial"/>
          <w:sz w:val="22"/>
          <w:szCs w:val="22"/>
        </w:rPr>
        <w:t xml:space="preserve">  </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2.18</w:t>
        <w:tab/>
        <w:t>“</w:t>
      </w:r>
      <w:r>
        <w:rPr>
          <w:rFonts w:cs="Arial" w:ascii="Arial" w:hAnsi="Arial"/>
          <w:sz w:val="22"/>
          <w:szCs w:val="22"/>
          <w:u w:val="single"/>
        </w:rPr>
        <w:t>Imbalance Charges</w:t>
      </w:r>
      <w:r>
        <w:rPr>
          <w:rFonts w:cs="Arial" w:ascii="Arial" w:hAnsi="Arial"/>
          <w:sz w:val="22"/>
          <w:szCs w:val="22"/>
        </w:rPr>
        <w:t>” shall mean any fee, penalties, costs or charges (in cash or in kind) assessed by a Transporter for failure to satisfy the Transporter’s balance and/or nomination requirements.</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2.19</w:t>
        <w:tab/>
        <w:t>"</w:t>
      </w:r>
      <w:r>
        <w:rPr>
          <w:rFonts w:cs="Arial" w:ascii="Arial" w:hAnsi="Arial"/>
          <w:sz w:val="22"/>
          <w:szCs w:val="22"/>
          <w:u w:val="single"/>
        </w:rPr>
        <w:t>Interest Rate</w:t>
      </w:r>
      <w:r>
        <w:rPr>
          <w:rFonts w:cs="Arial" w:ascii="Arial" w:hAnsi="Arial"/>
          <w:sz w:val="22"/>
          <w:szCs w:val="22"/>
        </w:rPr>
        <w:t xml:space="preserve">" means if Buyer fails to remit the full amount payable by it when due, interest on the unpaid portion shall accrue at a rate equal to the lower of (i) the then-effective prime rate of interest published under “Money Rates” by The Wall Street Journal, plus two percent per annum from the date due until the date of payment; or (ii) the maximum applicable lawful interest rate.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pPr>
      <w:r>
        <w:rPr>
          <w:rFonts w:cs="Arial" w:ascii="Arial" w:hAnsi="Arial"/>
          <w:sz w:val="22"/>
          <w:szCs w:val="22"/>
        </w:rPr>
        <w:tab/>
        <w:t>2.20</w:t>
        <w:tab/>
        <w:t>“</w:t>
      </w:r>
      <w:r>
        <w:rPr>
          <w:rFonts w:cs="Arial" w:ascii="Arial" w:hAnsi="Arial"/>
          <w:sz w:val="22"/>
          <w:szCs w:val="22"/>
          <w:u w:val="single"/>
        </w:rPr>
        <w:t>Issuer</w:t>
      </w:r>
      <w:r>
        <w:rPr>
          <w:rFonts w:cs="Arial" w:ascii="Arial" w:hAnsi="Arial"/>
          <w:sz w:val="22"/>
          <w:szCs w:val="22"/>
        </w:rPr>
        <w:t>” means as to a Party (the “first Party”) the person(s), if any, executing and delivering to the other Party (the “second Party”) a Letter of Credit or other form of Credit Support document, other than a Guaranty, which Issuer shall be reasonably acceptable to the second Party.</w:t>
      </w:r>
    </w:p>
    <w:p>
      <w:pPr>
        <w:pStyle w:val="Normal"/>
        <w:widowControl w:val="false"/>
        <w:ind w:firstLine="72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2.21</w:t>
        <w:tab/>
        <w:t>"</w:t>
      </w:r>
      <w:r>
        <w:rPr>
          <w:rFonts w:cs="Arial" w:ascii="Arial" w:hAnsi="Arial"/>
          <w:sz w:val="22"/>
          <w:szCs w:val="22"/>
          <w:u w:val="single"/>
        </w:rPr>
        <w:t>Letter of Credit</w:t>
      </w:r>
      <w:r>
        <w:rPr>
          <w:rFonts w:cs="Arial" w:ascii="Arial" w:hAnsi="Arial"/>
          <w:sz w:val="22"/>
          <w:szCs w:val="22"/>
        </w:rPr>
        <w:t>" means one or more irrevocable, transferable standby letters of credit from a major U.S. commercial bank or a foreign bank with a U.S. branch office, with such bank having a credit rating of at least “A-” from S&amp;P or “A3” from Moody’s.</w:t>
      </w:r>
      <w:bookmarkStart w:id="6" w:name="MaterialAdverseChangeDefinition1"/>
      <w:r>
        <w:rPr>
          <w:rFonts w:cs="Arial" w:ascii="Arial" w:hAnsi="Arial"/>
          <w:color w:val="FF0000"/>
          <w:sz w:val="22"/>
          <w:szCs w:val="22"/>
        </w:rPr>
        <w:t xml:space="preserve"> </w:t>
      </w:r>
      <w:bookmarkEnd w:id="6"/>
      <w:r>
        <w:rPr>
          <w:rFonts w:cs="Arial" w:ascii="Arial" w:hAnsi="Arial"/>
          <w:color w:val="FF0000"/>
          <w:sz w:val="22"/>
          <w:szCs w:val="22"/>
        </w:rPr>
        <w:t xml:space="preserve"> </w:t>
      </w:r>
    </w:p>
    <w:p>
      <w:pPr>
        <w:pStyle w:val="Normal"/>
        <w:widowControl w:val="false"/>
        <w:ind w:start="450" w:end="0"/>
        <w:jc w:val="both"/>
        <w:rPr>
          <w:rFonts w:ascii="Arial" w:hAnsi="Arial" w:cs="Arial"/>
          <w:color w:val="FF0000"/>
          <w:sz w:val="22"/>
          <w:szCs w:val="22"/>
        </w:rPr>
      </w:pPr>
      <w:r>
        <w:rPr>
          <w:rFonts w:cs="Arial" w:ascii="Arial" w:hAnsi="Arial"/>
          <w:color w:val="FF0000"/>
          <w:sz w:val="22"/>
          <w:szCs w:val="22"/>
        </w:rPr>
      </w:r>
    </w:p>
    <w:p>
      <w:pPr>
        <w:pStyle w:val="Normal"/>
        <w:widowControl w:val="false"/>
        <w:ind w:firstLine="720" w:end="0"/>
        <w:jc w:val="both"/>
        <w:rPr/>
      </w:pPr>
      <w:r>
        <w:rPr>
          <w:rFonts w:cs="Arial" w:ascii="Arial" w:hAnsi="Arial"/>
          <w:sz w:val="22"/>
          <w:szCs w:val="22"/>
        </w:rPr>
        <w:t>2.22</w:t>
        <w:tab/>
        <w:t>“</w:t>
      </w:r>
      <w:r>
        <w:rPr>
          <w:rFonts w:cs="Arial" w:ascii="Arial" w:hAnsi="Arial"/>
          <w:sz w:val="22"/>
          <w:szCs w:val="22"/>
          <w:u w:val="single"/>
        </w:rPr>
        <w:t>Material Adverse Change</w:t>
      </w:r>
      <w:r>
        <w:rPr>
          <w:rFonts w:cs="Arial" w:ascii="Arial" w:hAnsi="Arial"/>
          <w:sz w:val="22"/>
          <w:szCs w:val="22"/>
        </w:rPr>
        <w:t>” shall have the meaning set forth in Article 9.1.</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2.23</w:t>
        <w:tab/>
        <w:t>“</w:t>
      </w:r>
      <w:r>
        <w:rPr>
          <w:rFonts w:cs="Arial" w:ascii="Arial" w:hAnsi="Arial"/>
          <w:sz w:val="22"/>
          <w:szCs w:val="22"/>
          <w:u w:val="single"/>
        </w:rPr>
        <w:t>Measuring Pipeline</w:t>
      </w:r>
      <w:r>
        <w:rPr>
          <w:rFonts w:cs="Arial" w:ascii="Arial" w:hAnsi="Arial"/>
          <w:sz w:val="22"/>
          <w:szCs w:val="22"/>
        </w:rPr>
        <w:t>” shall mean, unless stated elsewhere herein to the contrary, the receiving Transporter.</w:t>
      </w:r>
    </w:p>
    <w:p>
      <w:pPr>
        <w:pStyle w:val="Normal"/>
        <w:ind w:start="450" w:end="0"/>
        <w:jc w:val="both"/>
        <w:rPr>
          <w:rFonts w:ascii="Arial" w:hAnsi="Arial" w:cs="Arial"/>
          <w:sz w:val="22"/>
          <w:szCs w:val="22"/>
        </w:rPr>
      </w:pPr>
      <w:r>
        <w:rPr>
          <w:rFonts w:cs="Arial" w:ascii="Arial" w:hAnsi="Arial"/>
          <w:sz w:val="22"/>
          <w:szCs w:val="22"/>
        </w:rPr>
      </w:r>
    </w:p>
    <w:p>
      <w:pPr>
        <w:pStyle w:val="Normal"/>
        <w:ind w:firstLine="720" w:end="0"/>
        <w:jc w:val="both"/>
        <w:rPr/>
      </w:pPr>
      <w:r>
        <w:rPr>
          <w:rFonts w:cs="Arial" w:ascii="Arial" w:hAnsi="Arial"/>
          <w:sz w:val="22"/>
          <w:szCs w:val="22"/>
        </w:rPr>
        <w:t>2.24</w:t>
        <w:tab/>
        <w:t>“</w:t>
      </w:r>
      <w:r>
        <w:rPr>
          <w:rFonts w:cs="Arial" w:ascii="Arial" w:hAnsi="Arial"/>
          <w:sz w:val="22"/>
          <w:szCs w:val="22"/>
          <w:u w:val="single"/>
        </w:rPr>
        <w:t>MMBtu”</w:t>
      </w:r>
      <w:r>
        <w:rPr>
          <w:rFonts w:cs="Arial" w:ascii="Arial" w:hAnsi="Arial"/>
          <w:sz w:val="22"/>
          <w:szCs w:val="22"/>
        </w:rPr>
        <w:t xml:space="preserve"> shall mean the unit of measurement for payment purposes expressed as one million (1,000,000) BTU, measured on a dry basis.</w:t>
      </w:r>
    </w:p>
    <w:p>
      <w:pPr>
        <w:pStyle w:val="Normal"/>
        <w:ind w:start="450" w:end="0"/>
        <w:jc w:val="both"/>
        <w:rPr>
          <w:rFonts w:ascii="Arial" w:hAnsi="Arial" w:cs="Arial"/>
          <w:sz w:val="22"/>
          <w:szCs w:val="22"/>
        </w:rPr>
      </w:pPr>
      <w:r>
        <w:rPr>
          <w:rFonts w:cs="Arial" w:ascii="Arial" w:hAnsi="Arial"/>
          <w:sz w:val="22"/>
          <w:szCs w:val="22"/>
        </w:rPr>
      </w:r>
    </w:p>
    <w:p>
      <w:pPr>
        <w:pStyle w:val="Normal"/>
        <w:ind w:firstLine="720" w:end="0"/>
        <w:jc w:val="both"/>
        <w:rPr/>
      </w:pPr>
      <w:r>
        <w:rPr>
          <w:rFonts w:cs="Arial" w:ascii="Arial" w:hAnsi="Arial"/>
          <w:sz w:val="22"/>
          <w:szCs w:val="22"/>
        </w:rPr>
        <w:t>2.25</w:t>
        <w:tab/>
        <w:t>“</w:t>
      </w:r>
      <w:r>
        <w:rPr>
          <w:rFonts w:cs="Arial" w:ascii="Arial" w:hAnsi="Arial"/>
          <w:sz w:val="22"/>
          <w:szCs w:val="22"/>
          <w:u w:val="single"/>
        </w:rPr>
        <w:t>Month</w:t>
      </w:r>
      <w:r>
        <w:rPr>
          <w:rFonts w:cs="Arial" w:ascii="Arial" w:hAnsi="Arial"/>
          <w:sz w:val="22"/>
          <w:szCs w:val="22"/>
        </w:rPr>
        <w:t>” shall mean the period of time defined as “month” in the effective tariff or other operating rules, policies or procedures of the Measuring Pipeline applicable to transportation service.</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2.26</w:t>
        <w:tab/>
        <w:t>“</w:t>
      </w:r>
      <w:r>
        <w:rPr>
          <w:rFonts w:cs="Arial" w:ascii="Arial" w:hAnsi="Arial"/>
          <w:sz w:val="22"/>
          <w:szCs w:val="22"/>
          <w:u w:val="single"/>
        </w:rPr>
        <w:t>NYMEX</w:t>
      </w:r>
      <w:r>
        <w:rPr>
          <w:rFonts w:cs="Arial" w:ascii="Arial" w:hAnsi="Arial"/>
          <w:sz w:val="22"/>
          <w:szCs w:val="22"/>
        </w:rPr>
        <w:t>” shall mean the New York Mercantile Exchange.</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rFonts w:ascii="Arial" w:hAnsi="Arial" w:cs="Arial"/>
          <w:b/>
          <w:bCs/>
          <w:sz w:val="22"/>
          <w:szCs w:val="22"/>
        </w:rPr>
      </w:pPr>
      <w:r>
        <w:rPr>
          <w:rFonts w:cs="Arial" w:ascii="Arial" w:hAnsi="Arial"/>
          <w:sz w:val="22"/>
          <w:szCs w:val="22"/>
        </w:rPr>
        <w:t>2.27</w:t>
        <w:tab/>
        <w:t>"</w:t>
      </w:r>
      <w:r>
        <w:rPr>
          <w:rFonts w:cs="Arial" w:ascii="Arial" w:hAnsi="Arial"/>
          <w:sz w:val="22"/>
          <w:szCs w:val="22"/>
          <w:u w:val="single"/>
        </w:rPr>
        <w:t>Payment Due Date</w:t>
      </w:r>
      <w:r>
        <w:rPr>
          <w:rFonts w:cs="Arial" w:ascii="Arial" w:hAnsi="Arial"/>
          <w:sz w:val="22"/>
          <w:szCs w:val="22"/>
        </w:rPr>
        <w:t>" means the later of (i) the twenty-fifth (25th) Day of each calendar Month, or (ii) ten (10) Days after Buyer’s receipt of Seller's statement, for deliveries of Natural Gas during the preceding Month and other amounts due Seller, or if such Day is not a Business Day, the immediately preceding Business Day.</w:t>
      </w:r>
    </w:p>
    <w:p>
      <w:pPr>
        <w:pStyle w:val="Normal"/>
        <w:widowControl w:val="false"/>
        <w:ind w:start="450" w:end="0"/>
        <w:jc w:val="both"/>
        <w:rPr>
          <w:rFonts w:ascii="Arial" w:hAnsi="Arial" w:cs="Arial"/>
          <w:b/>
          <w:bCs/>
          <w:sz w:val="22"/>
          <w:szCs w:val="22"/>
        </w:rPr>
      </w:pPr>
      <w:r>
        <w:rPr>
          <w:rFonts w:cs="Arial" w:ascii="Arial" w:hAnsi="Arial"/>
          <w:b/>
          <w:bCs/>
          <w:sz w:val="22"/>
          <w:szCs w:val="22"/>
        </w:rPr>
      </w:r>
    </w:p>
    <w:p>
      <w:pPr>
        <w:pStyle w:val="Normal"/>
        <w:widowControl w:val="false"/>
        <w:ind w:firstLine="720" w:end="0"/>
        <w:jc w:val="both"/>
        <w:rPr/>
      </w:pPr>
      <w:r>
        <w:rPr>
          <w:rFonts w:cs="Arial" w:ascii="Arial" w:hAnsi="Arial"/>
          <w:sz w:val="22"/>
          <w:szCs w:val="22"/>
        </w:rPr>
        <w:t>2.28</w:t>
        <w:tab/>
        <w:t>“</w:t>
      </w:r>
      <w:r>
        <w:rPr>
          <w:rFonts w:cs="Arial" w:ascii="Arial" w:hAnsi="Arial"/>
          <w:sz w:val="22"/>
          <w:szCs w:val="22"/>
          <w:u w:val="single"/>
        </w:rPr>
        <w:t>Price</w:t>
      </w:r>
      <w:r>
        <w:rPr>
          <w:rFonts w:cs="Arial" w:ascii="Arial" w:hAnsi="Arial"/>
          <w:sz w:val="22"/>
          <w:szCs w:val="22"/>
        </w:rPr>
        <w:t xml:space="preserve">” shall mean the amount or pricing mechanism agreed to by the Parties. </w:t>
      </w:r>
    </w:p>
    <w:p>
      <w:pPr>
        <w:pStyle w:val="BodyText3"/>
        <w:widowControl/>
        <w:tabs>
          <w:tab w:val="clear" w:pos="1440"/>
          <w:tab w:val="clear" w:pos="8640"/>
        </w:tabs>
        <w:ind w:start="450" w:end="0"/>
        <w:rPr>
          <w:rFonts w:ascii="Arial" w:hAnsi="Arial" w:cs="Arial"/>
          <w:sz w:val="22"/>
          <w:szCs w:val="22"/>
        </w:rPr>
      </w:pPr>
      <w:r>
        <w:rPr>
          <w:rFonts w:cs="Arial"/>
          <w:sz w:val="22"/>
          <w:szCs w:val="22"/>
        </w:rPr>
      </w:r>
    </w:p>
    <w:p>
      <w:pPr>
        <w:pStyle w:val="BodyText3"/>
        <w:widowControl/>
        <w:tabs>
          <w:tab w:val="clear" w:pos="1440"/>
          <w:tab w:val="clear" w:pos="8640"/>
        </w:tabs>
        <w:ind w:firstLine="720" w:end="0"/>
        <w:rPr>
          <w:sz w:val="22"/>
          <w:szCs w:val="22"/>
        </w:rPr>
      </w:pPr>
      <w:r>
        <w:rPr>
          <w:sz w:val="22"/>
          <w:szCs w:val="22"/>
        </w:rPr>
        <w:t>2.29</w:t>
        <w:tab/>
        <w:t>“</w:t>
      </w:r>
      <w:r>
        <w:rPr>
          <w:sz w:val="22"/>
          <w:szCs w:val="22"/>
          <w:u w:val="single"/>
        </w:rPr>
        <w:t>Receipt/Delivery Obligation</w:t>
      </w:r>
      <w:r>
        <w:rPr>
          <w:sz w:val="22"/>
          <w:szCs w:val="22"/>
        </w:rPr>
        <w:t>” shall mean one of EFP, Firm or Interruptible as set forth in the Confirmation for a particular Transaction.</w:t>
      </w:r>
      <w:bookmarkStart w:id="7" w:name="RoundingAmountDefinition1"/>
      <w:r>
        <w:rPr>
          <w:color w:val="FF0000"/>
          <w:sz w:val="22"/>
          <w:szCs w:val="22"/>
        </w:rPr>
        <w:t xml:space="preserve">  </w:t>
      </w:r>
      <w:bookmarkEnd w:id="7"/>
    </w:p>
    <w:p>
      <w:pPr>
        <w:pStyle w:val="BodyText3"/>
        <w:widowControl/>
        <w:tabs>
          <w:tab w:val="clear" w:pos="1440"/>
          <w:tab w:val="clear" w:pos="8640"/>
        </w:tabs>
        <w:ind w:start="450" w:end="0"/>
        <w:rPr>
          <w:sz w:val="22"/>
          <w:szCs w:val="22"/>
        </w:rPr>
      </w:pPr>
      <w:r>
        <w:rPr>
          <w:sz w:val="22"/>
          <w:szCs w:val="22"/>
        </w:rPr>
      </w:r>
    </w:p>
    <w:p>
      <w:pPr>
        <w:pStyle w:val="BodyText3"/>
        <w:widowControl/>
        <w:tabs>
          <w:tab w:val="clear" w:pos="1440"/>
          <w:tab w:val="clear" w:pos="8640"/>
        </w:tabs>
        <w:ind w:firstLine="720" w:end="0"/>
        <w:rPr/>
      </w:pPr>
      <w:r>
        <w:rPr>
          <w:sz w:val="22"/>
          <w:szCs w:val="22"/>
        </w:rPr>
        <w:t>2.30</w:t>
        <w:tab/>
        <w:t>“</w:t>
      </w:r>
      <w:r>
        <w:rPr>
          <w:sz w:val="22"/>
          <w:szCs w:val="22"/>
          <w:u w:val="single"/>
        </w:rPr>
        <w:t>Rounding Amount</w:t>
      </w:r>
      <w:r>
        <w:rPr>
          <w:sz w:val="22"/>
          <w:szCs w:val="22"/>
        </w:rPr>
        <w:t>” shall be to the nearest $100,000 increment.</w:t>
      </w:r>
    </w:p>
    <w:p>
      <w:pPr>
        <w:pStyle w:val="BodyText3"/>
        <w:widowControl/>
        <w:tabs>
          <w:tab w:val="clear" w:pos="1440"/>
          <w:tab w:val="clear" w:pos="8640"/>
        </w:tabs>
        <w:ind w:start="450" w:end="0"/>
        <w:rPr>
          <w:sz w:val="22"/>
          <w:szCs w:val="22"/>
        </w:rPr>
      </w:pPr>
      <w:r>
        <w:rPr>
          <w:sz w:val="22"/>
          <w:szCs w:val="22"/>
        </w:rPr>
      </w:r>
    </w:p>
    <w:p>
      <w:pPr>
        <w:pStyle w:val="Normal"/>
        <w:widowControl w:val="false"/>
        <w:ind w:firstLine="720" w:end="0"/>
        <w:jc w:val="both"/>
        <w:rPr/>
      </w:pPr>
      <w:r>
        <w:rPr>
          <w:rFonts w:cs="Arial" w:ascii="Arial" w:hAnsi="Arial"/>
          <w:sz w:val="22"/>
          <w:szCs w:val="22"/>
        </w:rPr>
        <w:t>2.31</w:t>
        <w:tab/>
        <w:t>"</w:t>
      </w:r>
      <w:r>
        <w:rPr>
          <w:rFonts w:cs="Arial" w:ascii="Arial" w:hAnsi="Arial"/>
          <w:sz w:val="22"/>
          <w:szCs w:val="22"/>
          <w:u w:val="single"/>
        </w:rPr>
        <w:t>Seller</w:t>
      </w:r>
      <w:r>
        <w:rPr>
          <w:rFonts w:cs="Arial" w:ascii="Arial" w:hAnsi="Arial"/>
          <w:sz w:val="22"/>
          <w:szCs w:val="22"/>
        </w:rPr>
        <w:t>" means the Party to a Transaction hereunder who is obligated to deliver Natural Gas during the Period of Delivery in a Transaction.</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2.32</w:t>
        <w:tab/>
      </w:r>
      <w:r>
        <w:rPr>
          <w:rFonts w:cs="Arial" w:ascii="Arial" w:hAnsi="Arial"/>
          <w:sz w:val="22"/>
          <w:szCs w:val="22"/>
          <w:u w:val="single"/>
        </w:rPr>
        <w:t>“Interruptible</w:t>
      </w:r>
      <w:r>
        <w:rPr>
          <w:rFonts w:cs="Arial" w:ascii="Arial" w:hAnsi="Arial"/>
          <w:sz w:val="22"/>
          <w:szCs w:val="22"/>
        </w:rPr>
        <w:t>” shall mean that either Party may interrupt its performance at any time for any reason, whether or not caused by an event of Force Majeure, with no liability, except such interrupting Party may be responsible for any Imbalance Charges as set forth in Article 5 related to its interruption after the nomination is made to the Transporter and until the change in deliveries and/or receipts is confirmed by Transporter.</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2.33</w:t>
        <w:tab/>
        <w:t>"</w:t>
      </w:r>
      <w:r>
        <w:rPr>
          <w:rFonts w:cs="Arial" w:ascii="Arial" w:hAnsi="Arial"/>
          <w:sz w:val="22"/>
          <w:szCs w:val="22"/>
          <w:u w:val="single"/>
        </w:rPr>
        <w:t>Tax</w:t>
      </w:r>
      <w:r>
        <w:rPr>
          <w:rFonts w:cs="Arial" w:ascii="Arial" w:hAnsi="Arial"/>
          <w:sz w:val="22"/>
          <w:szCs w:val="22"/>
        </w:rPr>
        <w:t xml:space="preserve">" shall mean any tax levied, assessed or claimed to be due by any Federal, State, County, Tribal or Municipal Government or any other governmental agency having jurisdiction to do so, other than taxes based on net income or net worth. </w:t>
      </w:r>
      <w:bookmarkStart w:id="8" w:name="TerminationPaymentTHDefinition1"/>
      <w:r>
        <w:rPr>
          <w:rFonts w:cs="Arial" w:ascii="Arial" w:hAnsi="Arial"/>
          <w:color w:val="FF0000"/>
          <w:sz w:val="22"/>
          <w:szCs w:val="22"/>
        </w:rPr>
        <w:t xml:space="preserve">  </w:t>
      </w:r>
      <w:bookmarkEnd w:id="8"/>
      <w:r>
        <w:rPr>
          <w:rFonts w:cs="Arial" w:ascii="Arial" w:hAnsi="Arial"/>
          <w:sz w:val="22"/>
          <w:szCs w:val="22"/>
        </w:rPr>
        <w:t xml:space="preserve">  </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2.34</w:t>
        <w:tab/>
        <w:t>“</w:t>
      </w:r>
      <w:r>
        <w:rPr>
          <w:rFonts w:cs="Arial" w:ascii="Arial" w:hAnsi="Arial"/>
          <w:sz w:val="22"/>
          <w:szCs w:val="22"/>
          <w:u w:val="single"/>
        </w:rPr>
        <w:t>Termination Payment Threshold</w:t>
      </w:r>
      <w:r>
        <w:rPr>
          <w:rFonts w:cs="Arial" w:ascii="Arial" w:hAnsi="Arial"/>
          <w:sz w:val="22"/>
          <w:szCs w:val="22"/>
        </w:rPr>
        <w:t>” shall mean_________________________.</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2.35</w:t>
        <w:tab/>
        <w:t>"</w:t>
      </w:r>
      <w:r>
        <w:rPr>
          <w:rFonts w:cs="Arial" w:ascii="Arial" w:hAnsi="Arial"/>
          <w:sz w:val="22"/>
          <w:szCs w:val="22"/>
          <w:u w:val="single"/>
        </w:rPr>
        <w:t>Transaction</w:t>
      </w:r>
      <w:r>
        <w:rPr>
          <w:rFonts w:cs="Arial" w:ascii="Arial" w:hAnsi="Arial"/>
          <w:sz w:val="22"/>
          <w:szCs w:val="22"/>
        </w:rPr>
        <w:t>" means a particular, specifically agreed-to purchase or sale of Gas for delivery or receipt to be performed under this Agreement, as evidenced by a Confirmation or by a recorded oral telephone conversation where an offer was made by a Party and accepted by the other Party.</w:t>
      </w:r>
    </w:p>
    <w:p>
      <w:pPr>
        <w:pStyle w:val="Normal"/>
        <w:widowControl w:val="false"/>
        <w:ind w:start="450" w:end="0"/>
        <w:jc w:val="both"/>
        <w:rPr>
          <w:rFonts w:ascii="Arial" w:hAnsi="Arial" w:cs="Arial"/>
          <w:sz w:val="22"/>
          <w:szCs w:val="22"/>
        </w:rPr>
      </w:pPr>
      <w:r>
        <w:rPr>
          <w:rFonts w:cs="Arial" w:ascii="Arial" w:hAnsi="Arial"/>
          <w:sz w:val="22"/>
          <w:szCs w:val="22"/>
        </w:rPr>
      </w:r>
    </w:p>
    <w:p>
      <w:pPr>
        <w:pStyle w:val="BodyTextIndent"/>
        <w:ind w:firstLine="720" w:start="0" w:end="0"/>
        <w:rPr/>
      </w:pPr>
      <w:r>
        <w:rPr>
          <w:sz w:val="22"/>
          <w:szCs w:val="22"/>
        </w:rPr>
        <w:t>2.36</w:t>
        <w:tab/>
        <w:t>“</w:t>
      </w:r>
      <w:r>
        <w:rPr>
          <w:sz w:val="22"/>
          <w:szCs w:val="22"/>
          <w:u w:val="single"/>
        </w:rPr>
        <w:t>Transaction Tape</w:t>
      </w:r>
      <w:r>
        <w:rPr>
          <w:sz w:val="22"/>
          <w:szCs w:val="22"/>
        </w:rPr>
        <w:t>” shall be defined as a cassette tape(s) or other storage means for contemporaneous recording of telephone conversations maintained by Company for verification and/or evidentiary purposes.</w:t>
      </w:r>
    </w:p>
    <w:p>
      <w:pPr>
        <w:pStyle w:val="Normal"/>
        <w:widowControl w:val="false"/>
        <w:ind w:start="45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2.37</w:t>
        <w:tab/>
        <w:t>“</w:t>
      </w:r>
      <w:r>
        <w:rPr>
          <w:rFonts w:cs="Arial" w:ascii="Arial" w:hAnsi="Arial"/>
          <w:sz w:val="22"/>
          <w:szCs w:val="22"/>
          <w:u w:val="single"/>
        </w:rPr>
        <w:t>Transporter</w:t>
      </w:r>
      <w:r>
        <w:rPr>
          <w:rFonts w:cs="Arial" w:ascii="Arial" w:hAnsi="Arial"/>
          <w:sz w:val="22"/>
          <w:szCs w:val="22"/>
        </w:rPr>
        <w:t>” shall mean the pipeline(s) or gathering line(s) engaged by the Parties to deliver Gas to the Delivery Point(s) or receive Gas at the Delivery Point(s).</w:t>
      </w:r>
    </w:p>
    <w:p>
      <w:pPr>
        <w:pStyle w:val="Heading1"/>
        <w:spacing w:before="0" w:after="0"/>
        <w:ind w:hanging="0" w:start="0"/>
        <w:jc w:val="both"/>
        <w:rPr>
          <w:rFonts w:ascii="Arial" w:hAnsi="Arial" w:cs="Arial"/>
          <w:sz w:val="22"/>
          <w:szCs w:val="22"/>
        </w:rPr>
      </w:pPr>
      <w:r>
        <w:rPr>
          <w:rFonts w:cs="Arial" w:ascii="Arial" w:hAnsi="Arial"/>
          <w:sz w:val="22"/>
          <w:szCs w:val="22"/>
        </w:rPr>
      </w:r>
      <w:bookmarkStart w:id="9" w:name="__RefHeading___Toc492868470"/>
      <w:bookmarkStart w:id="10" w:name="__RefHeading___Toc492868470"/>
    </w:p>
    <w:p>
      <w:pPr>
        <w:pStyle w:val="Heading1"/>
        <w:spacing w:before="0" w:after="0"/>
        <w:ind w:hanging="0" w:start="0"/>
        <w:jc w:val="both"/>
        <w:rPr>
          <w:rFonts w:ascii="Arial" w:hAnsi="Arial" w:cs="Arial"/>
          <w:sz w:val="22"/>
          <w:szCs w:val="22"/>
        </w:rPr>
      </w:pPr>
      <w:bookmarkStart w:id="11" w:name="__RefHeading___Toc492868470"/>
      <w:r>
        <w:rPr>
          <w:rFonts w:cs="Arial" w:ascii="Arial" w:hAnsi="Arial"/>
          <w:sz w:val="22"/>
          <w:szCs w:val="22"/>
        </w:rPr>
        <w:t>ARTICLE 3 - TERM</w:t>
      </w:r>
      <w:bookmarkEnd w:id="11"/>
    </w:p>
    <w:p>
      <w:pPr>
        <w:pStyle w:val="Normal"/>
        <w:suppressAutoHyphens w:val="true"/>
        <w:jc w:val="both"/>
        <w:rPr>
          <w:rFonts w:ascii="Arial" w:hAnsi="Arial" w:cs="Arial"/>
          <w:sz w:val="22"/>
          <w:szCs w:val="22"/>
        </w:rPr>
      </w:pPr>
      <w:r>
        <w:rPr>
          <w:rFonts w:cs="Arial" w:ascii="Arial" w:hAnsi="Arial"/>
          <w:sz w:val="22"/>
          <w:szCs w:val="22"/>
        </w:rPr>
      </w:r>
    </w:p>
    <w:p>
      <w:pPr>
        <w:pStyle w:val="Normal"/>
        <w:suppressAutoHyphens w:val="true"/>
        <w:ind w:firstLine="720" w:end="0"/>
        <w:jc w:val="both"/>
        <w:rPr/>
      </w:pPr>
      <w:r>
        <w:rPr>
          <w:rFonts w:cs="Arial" w:ascii="Arial" w:hAnsi="Arial"/>
          <w:sz w:val="22"/>
          <w:szCs w:val="22"/>
        </w:rPr>
        <w:t>3.1</w:t>
        <w:tab/>
        <w:t>The t</w:t>
      </w:r>
      <w:r>
        <w:rPr>
          <w:rFonts w:cs="Arial" w:ascii="Arial" w:hAnsi="Arial"/>
          <w:spacing w:val="-2"/>
          <w:sz w:val="22"/>
          <w:szCs w:val="22"/>
        </w:rPr>
        <w:t>erm of this Agreement shall be Month-to-Month until terminated on thirty (30) Days advance written notice by either Party; provided, however, that the provisions hereof shall survive termination of this Agreement and continue to apply to any Transactions entered into between Counterparty and Company prior to the date of termination of this Agreement until such time as any and all such Transactions are completed or terminated.  Notwithstanding the foregoing, the representations, warranties, and indemnities set forth in this Agreement will survive termination of this Agreement.</w:t>
      </w:r>
    </w:p>
    <w:p>
      <w:pPr>
        <w:pStyle w:val="Heading1"/>
        <w:ind w:hanging="0" w:start="0"/>
        <w:jc w:val="both"/>
        <w:rPr>
          <w:rFonts w:ascii="Arial" w:hAnsi="Arial" w:cs="Arial"/>
          <w:sz w:val="22"/>
          <w:szCs w:val="22"/>
        </w:rPr>
      </w:pPr>
      <w:bookmarkStart w:id="12" w:name="__RefHeading___Toc492868471"/>
      <w:bookmarkEnd w:id="12"/>
      <w:r>
        <w:rPr>
          <w:rFonts w:cs="Arial" w:ascii="Arial" w:hAnsi="Arial"/>
          <w:sz w:val="22"/>
          <w:szCs w:val="22"/>
        </w:rPr>
        <w:t>ARTICLE 4 - QUANTITY AND DELIVERY</w:t>
      </w:r>
    </w:p>
    <w:p>
      <w:pPr>
        <w:pStyle w:val="Normal"/>
        <w:jc w:val="both"/>
        <w:rPr>
          <w:rFonts w:ascii="Arial" w:hAnsi="Arial" w:cs="Arial"/>
          <w:sz w:val="22"/>
          <w:szCs w:val="22"/>
        </w:rPr>
      </w:pPr>
      <w:r>
        <w:rPr>
          <w:rFonts w:cs="Arial" w:ascii="Arial" w:hAnsi="Arial"/>
          <w:sz w:val="22"/>
          <w:szCs w:val="22"/>
        </w:rPr>
      </w:r>
    </w:p>
    <w:p>
      <w:pPr>
        <w:pStyle w:val="Normal"/>
        <w:suppressAutoHyphens w:val="true"/>
        <w:ind w:firstLine="720" w:end="0"/>
        <w:jc w:val="both"/>
        <w:rPr>
          <w:rFonts w:ascii="Arial" w:hAnsi="Arial" w:cs="Arial"/>
          <w:spacing w:val="-2"/>
          <w:sz w:val="22"/>
          <w:szCs w:val="22"/>
        </w:rPr>
      </w:pPr>
      <w:r>
        <w:rPr>
          <w:rFonts w:cs="Arial" w:ascii="Arial" w:hAnsi="Arial"/>
          <w:spacing w:val="-2"/>
          <w:sz w:val="22"/>
          <w:szCs w:val="22"/>
        </w:rPr>
        <w:t>4.1</w:t>
        <w:tab/>
        <w:t>Seller agrees to sell and deliver and Buyer agrees to purchase and receive each Day at the Delivery Point(s), the Daily Contract Quantity in accordance with the terms of the relevant Transaction.</w:t>
      </w:r>
    </w:p>
    <w:p>
      <w:pPr>
        <w:pStyle w:val="Normal"/>
        <w:suppressAutoHyphens w:val="true"/>
        <w:jc w:val="both"/>
        <w:rPr>
          <w:rFonts w:ascii="Arial" w:hAnsi="Arial" w:cs="Arial"/>
          <w:spacing w:val="-2"/>
          <w:sz w:val="22"/>
          <w:szCs w:val="22"/>
        </w:rPr>
      </w:pPr>
      <w:r>
        <w:rPr>
          <w:rFonts w:cs="Arial" w:ascii="Arial" w:hAnsi="Arial"/>
          <w:spacing w:val="-2"/>
          <w:sz w:val="22"/>
          <w:szCs w:val="22"/>
        </w:rPr>
      </w:r>
    </w:p>
    <w:p>
      <w:pPr>
        <w:pStyle w:val="BodyText3"/>
        <w:widowControl/>
        <w:tabs>
          <w:tab w:val="clear" w:pos="1440"/>
          <w:tab w:val="clear" w:pos="8640"/>
        </w:tabs>
        <w:suppressAutoHyphens w:val="true"/>
        <w:ind w:firstLine="720" w:end="0"/>
        <w:rPr>
          <w:spacing w:val="-2"/>
          <w:sz w:val="22"/>
          <w:szCs w:val="22"/>
        </w:rPr>
      </w:pPr>
      <w:r>
        <w:rPr>
          <w:spacing w:val="-2"/>
          <w:sz w:val="22"/>
          <w:szCs w:val="22"/>
        </w:rPr>
        <w:t>4.2</w:t>
        <w:tab/>
        <w:t>Either Party shall notify the other Party of its nomination(s), from time to time, with prior notice of at least twenty-four (24) hours and/or within the Transporter’s pipeline’s deadline date for making changes in nominations to be effective the next Day at 7:00 a.m.  Buyer shall be responsible for compliance with the effective nominations given within the Transporter’s pipeline’s deadline date for changes.</w:t>
      </w:r>
    </w:p>
    <w:p>
      <w:pPr>
        <w:pStyle w:val="Heading1"/>
        <w:ind w:hanging="0" w:start="0"/>
        <w:jc w:val="both"/>
        <w:rPr>
          <w:rFonts w:ascii="Arial" w:hAnsi="Arial" w:cs="Arial"/>
          <w:sz w:val="22"/>
          <w:szCs w:val="22"/>
        </w:rPr>
      </w:pPr>
      <w:bookmarkStart w:id="13" w:name="__RefHeading___Toc492868472"/>
      <w:bookmarkEnd w:id="13"/>
      <w:r>
        <w:rPr>
          <w:rFonts w:cs="Arial" w:ascii="Arial" w:hAnsi="Arial"/>
          <w:sz w:val="22"/>
          <w:szCs w:val="22"/>
        </w:rPr>
        <w:t>ARTICLE 5 – TRANSPORTATION AND IMBALANCE</w:t>
      </w:r>
    </w:p>
    <w:p>
      <w:pPr>
        <w:pStyle w:val="Normal"/>
        <w:jc w:val="both"/>
        <w:rPr>
          <w:rFonts w:ascii="Arial" w:hAnsi="Arial" w:cs="Arial"/>
          <w:sz w:val="22"/>
          <w:szCs w:val="22"/>
        </w:rPr>
      </w:pPr>
      <w:r>
        <w:rPr>
          <w:rFonts w:cs="Arial" w:ascii="Arial" w:hAnsi="Arial"/>
          <w:sz w:val="22"/>
          <w:szCs w:val="22"/>
        </w:rPr>
      </w:r>
    </w:p>
    <w:p>
      <w:pPr>
        <w:pStyle w:val="BodyText3"/>
        <w:widowControl/>
        <w:tabs>
          <w:tab w:val="clear" w:pos="1440"/>
          <w:tab w:val="clear" w:pos="8640"/>
        </w:tabs>
        <w:suppressAutoHyphens w:val="true"/>
        <w:ind w:firstLine="720" w:end="0"/>
        <w:rPr>
          <w:spacing w:val="-2"/>
          <w:sz w:val="22"/>
          <w:szCs w:val="22"/>
        </w:rPr>
      </w:pPr>
      <w:r>
        <w:rPr>
          <w:spacing w:val="-2"/>
          <w:sz w:val="22"/>
          <w:szCs w:val="22"/>
        </w:rPr>
        <w:t>5.1</w:t>
        <w:tab/>
        <w:t>Seller shall be responsible for all arrangements necessary to deliver Gas sold hereunder to the Delivery Point(s) and Buyer shall be responsible for all arrangements necessary to receive Gas at the Delivery Point(s).  In the event Seller delivers more or less than the effective nomination(s), and as a result thereof, Buyer is assessed Imbalance Charges, Seller shall reimburse Buyer for same within ten (10) Days of Seller's receipt of Buyer's invoice therefore.  In the event Buyer takes delivery of more or less than the effective nomination(s), and as a result thereof, Seller is assessed imbalance penalties, fees, or charges, Buyer shall reimburse Seller for same within ten (10) Days of Buyer's receipt of Seller's invoice therefore.</w:t>
      </w:r>
    </w:p>
    <w:p>
      <w:pPr>
        <w:pStyle w:val="Heading1"/>
        <w:ind w:hanging="0" w:start="0"/>
        <w:jc w:val="both"/>
        <w:rPr>
          <w:rFonts w:ascii="Arial" w:hAnsi="Arial" w:cs="Arial"/>
          <w:sz w:val="22"/>
          <w:szCs w:val="22"/>
        </w:rPr>
      </w:pPr>
      <w:r>
        <w:rPr>
          <w:rFonts w:cs="Arial" w:ascii="Arial" w:hAnsi="Arial"/>
          <w:sz w:val="22"/>
          <w:szCs w:val="22"/>
        </w:rPr>
        <w:t>ARTICLE 6 – DELIVERY POINT</w:t>
      </w:r>
    </w:p>
    <w:p>
      <w:pPr>
        <w:pStyle w:val="Normal"/>
        <w:jc w:val="both"/>
        <w:rPr>
          <w:rFonts w:ascii="Arial" w:hAnsi="Arial" w:cs="Arial"/>
          <w:sz w:val="22"/>
          <w:szCs w:val="22"/>
        </w:rPr>
      </w:pPr>
      <w:r>
        <w:rPr>
          <w:rFonts w:cs="Arial" w:ascii="Arial" w:hAnsi="Arial"/>
          <w:sz w:val="22"/>
          <w:szCs w:val="22"/>
        </w:rPr>
      </w:r>
    </w:p>
    <w:p>
      <w:pPr>
        <w:pStyle w:val="BodyText3"/>
        <w:widowControl/>
        <w:tabs>
          <w:tab w:val="clear" w:pos="1440"/>
          <w:tab w:val="clear" w:pos="8640"/>
        </w:tabs>
        <w:suppressAutoHyphens w:val="true"/>
        <w:ind w:firstLine="720" w:end="0"/>
        <w:rPr>
          <w:spacing w:val="-2"/>
          <w:sz w:val="22"/>
          <w:szCs w:val="22"/>
        </w:rPr>
      </w:pPr>
      <w:r>
        <w:rPr>
          <w:spacing w:val="-2"/>
          <w:sz w:val="22"/>
          <w:szCs w:val="22"/>
        </w:rPr>
        <w:t>6.1</w:t>
        <w:tab/>
        <w:t>The Delivery Point(s) for all Gas delivered hereunder shall be as agreed in the Transaction.  Seller shall have possession of the Gas and shall arrange for all necessary transportation of the Gas from Seller's source(s) of such Gas to the Delivery Point(s) set forth in the Transaction. Buyer shall have all rights, title, interest and risk of loss to all Gas purchased hereunder shall pass to Buyer upon the receipt of such Gas by Buyer or Buyer's designee at the Delivery Point(s).</w:t>
      </w:r>
    </w:p>
    <w:p>
      <w:pPr>
        <w:pStyle w:val="Heading1"/>
        <w:ind w:hanging="0" w:start="0"/>
        <w:jc w:val="both"/>
        <w:rPr>
          <w:rFonts w:ascii="Arial" w:hAnsi="Arial" w:cs="Arial"/>
          <w:sz w:val="22"/>
          <w:szCs w:val="22"/>
        </w:rPr>
      </w:pPr>
      <w:r>
        <w:rPr>
          <w:rFonts w:cs="Arial" w:ascii="Arial" w:hAnsi="Arial"/>
          <w:sz w:val="22"/>
          <w:szCs w:val="22"/>
        </w:rPr>
        <w:t>ARTICLE 7 – PRICE</w:t>
      </w:r>
    </w:p>
    <w:p>
      <w:pPr>
        <w:pStyle w:val="Normal"/>
        <w:jc w:val="both"/>
        <w:rPr>
          <w:rFonts w:ascii="Arial" w:hAnsi="Arial" w:cs="Arial"/>
          <w:sz w:val="22"/>
          <w:szCs w:val="22"/>
        </w:rPr>
      </w:pPr>
      <w:r>
        <w:rPr>
          <w:rFonts w:cs="Arial" w:ascii="Arial" w:hAnsi="Arial"/>
          <w:sz w:val="22"/>
          <w:szCs w:val="22"/>
        </w:rPr>
      </w:r>
    </w:p>
    <w:p>
      <w:pPr>
        <w:pStyle w:val="BodyText3"/>
        <w:widowControl/>
        <w:tabs>
          <w:tab w:val="clear" w:pos="1440"/>
          <w:tab w:val="clear" w:pos="8640"/>
        </w:tabs>
        <w:suppressAutoHyphens w:val="true"/>
        <w:ind w:firstLine="720" w:end="0"/>
        <w:rPr>
          <w:spacing w:val="-2"/>
          <w:sz w:val="22"/>
          <w:szCs w:val="22"/>
        </w:rPr>
      </w:pPr>
      <w:r>
        <w:rPr>
          <w:spacing w:val="-2"/>
          <w:sz w:val="22"/>
          <w:szCs w:val="22"/>
        </w:rPr>
        <w:t>7.1</w:t>
        <w:tab/>
        <w:t>Buyer shall pay Seller, for all quantities of Gas nominated and received for Buyer's account hereunder, the Price per MMBtu set forth in the Transaction.  Such Price will be inclusive of all royalties, Taxes, transportation charges, expenses and costs applicable to the Gas prior to receipt by Buyer at the Delivery Point(s).  In the event Buyer should be required, by the laws of any governmental body having jurisdiction hereunder, to pay any such costs or charges for which Seller is liable, then Buyer shall have the right to reduce the amount payable hereunder by an amount equal to such costs or charges.  In the event Seller should be required, by the laws of any governmental body having jurisdiction hereunder, to pay any such costs or charges for which Buyer is liable, then Buyer shall reimburse Seller for same within ten (10) Days of Buyer's receipt of Seller's invoice therefore.</w:t>
      </w:r>
    </w:p>
    <w:p>
      <w:pPr>
        <w:pStyle w:val="Heading1"/>
        <w:ind w:hanging="0" w:start="0"/>
        <w:jc w:val="both"/>
        <w:rPr>
          <w:rFonts w:ascii="Arial" w:hAnsi="Arial" w:cs="Arial"/>
          <w:sz w:val="22"/>
          <w:szCs w:val="22"/>
        </w:rPr>
      </w:pPr>
      <w:bookmarkStart w:id="14" w:name="__RefHeading___Toc492868475"/>
      <w:bookmarkEnd w:id="14"/>
      <w:r>
        <w:rPr>
          <w:rFonts w:cs="Arial" w:ascii="Arial" w:hAnsi="Arial"/>
          <w:sz w:val="22"/>
          <w:szCs w:val="22"/>
        </w:rPr>
        <w:t>ARTICLE 8 – FAILURE TO PERFORM</w:t>
      </w:r>
    </w:p>
    <w:p>
      <w:pPr>
        <w:pStyle w:val="Normal"/>
        <w:jc w:val="both"/>
        <w:rPr>
          <w:rFonts w:ascii="Arial" w:hAnsi="Arial" w:cs="Arial"/>
          <w:sz w:val="22"/>
          <w:szCs w:val="22"/>
        </w:rPr>
      </w:pPr>
      <w:r>
        <w:rPr>
          <w:rFonts w:cs="Arial" w:ascii="Arial" w:hAnsi="Arial"/>
          <w:sz w:val="22"/>
          <w:szCs w:val="22"/>
        </w:rPr>
      </w:r>
    </w:p>
    <w:p>
      <w:pPr>
        <w:pStyle w:val="BodyText3"/>
        <w:widowControl/>
        <w:tabs>
          <w:tab w:val="clear" w:pos="1440"/>
          <w:tab w:val="clear" w:pos="8640"/>
        </w:tabs>
        <w:ind w:firstLine="720" w:end="0"/>
        <w:rPr/>
      </w:pPr>
      <w:r>
        <w:rPr>
          <w:sz w:val="22"/>
          <w:szCs w:val="22"/>
        </w:rPr>
        <w:t>8.1</w:t>
        <w:tab/>
      </w:r>
      <w:r>
        <w:rPr>
          <w:b/>
          <w:bCs/>
          <w:sz w:val="22"/>
          <w:szCs w:val="22"/>
          <w:u w:val="single"/>
        </w:rPr>
        <w:t>This article shall apply only to Firm and EFP Transactions</w:t>
      </w:r>
      <w:r>
        <w:rPr>
          <w:sz w:val="22"/>
          <w:szCs w:val="22"/>
        </w:rPr>
        <w:t>.  If on any Day Buyer fails to accept tender of delivery of the DCQ, Seller shall have the right to sell to a third party purchaser during the then current Month the difference between the quantity actually accepted by Buyer on such Day and such DCQ.  Seller shall be entitled to reimbursement from Buyer for an amount calculated by multiplying the quantity of Gas not purchased times the difference between:</w:t>
      </w:r>
    </w:p>
    <w:p>
      <w:pPr>
        <w:pStyle w:val="BodyText3"/>
        <w:tabs>
          <w:tab w:val="clear" w:pos="1440"/>
          <w:tab w:val="clear" w:pos="8640"/>
        </w:tabs>
        <w:ind w:firstLine="720" w:end="0"/>
        <w:rPr>
          <w:sz w:val="22"/>
          <w:szCs w:val="22"/>
        </w:rPr>
      </w:pPr>
      <w:r>
        <w:rPr>
          <w:sz w:val="22"/>
          <w:szCs w:val="22"/>
        </w:rPr>
      </w:r>
    </w:p>
    <w:p>
      <w:pPr>
        <w:pStyle w:val="BodyText3"/>
        <w:tabs>
          <w:tab w:val="clear" w:pos="1440"/>
          <w:tab w:val="clear" w:pos="8640"/>
        </w:tabs>
        <w:spacing w:lineRule="auto" w:line="360"/>
        <w:ind w:firstLine="720" w:end="0"/>
        <w:rPr>
          <w:sz w:val="22"/>
          <w:szCs w:val="22"/>
        </w:rPr>
      </w:pPr>
      <w:r>
        <w:rPr>
          <w:sz w:val="22"/>
          <w:szCs w:val="22"/>
        </w:rPr>
        <w:t>(i)</w:t>
        <w:tab/>
        <w:t>The Price, and</w:t>
      </w:r>
    </w:p>
    <w:p>
      <w:pPr>
        <w:pStyle w:val="BodyText3"/>
        <w:tabs>
          <w:tab w:val="clear" w:pos="1440"/>
          <w:tab w:val="clear" w:pos="8640"/>
        </w:tabs>
        <w:ind w:start="720" w:end="0"/>
        <w:rPr>
          <w:sz w:val="22"/>
          <w:szCs w:val="22"/>
        </w:rPr>
      </w:pPr>
      <w:r>
        <w:rPr>
          <w:sz w:val="22"/>
          <w:szCs w:val="22"/>
        </w:rPr>
        <w:t>(ii)</w:t>
        <w:tab/>
        <w:t>The Fair Market Price which is less than the Price (“Sales Price”) adjusted for commercially reasonable incremental transportation costs to or from the Delivery Point(s). Any payments due Seller by Buyer under this paragraph shall be made in the Month following the Month Seller sells such Gas to a third party purchaser; provided, however, Seller first provides Buyer with information and documentation supporting Seller’s claim for reimbursement.</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sz w:val="22"/>
          <w:szCs w:val="22"/>
        </w:rPr>
      </w:pPr>
      <w:r>
        <w:rPr>
          <w:sz w:val="22"/>
          <w:szCs w:val="22"/>
        </w:rPr>
        <w:t>8.2</w:t>
        <w:tab/>
        <w:t>If on any Day Seller fails to tender delivery of the DCQ, Buyer shall have the right to purchase from a third party supplier during the then current Month the difference between the amount actually delivered by Seller on such Day and such DCQ.  Buyer shall be entitled to recover from Seller an amount calculated by multiplying the quantity of Gas not delivered times the difference between:</w:t>
      </w:r>
    </w:p>
    <w:p>
      <w:pPr>
        <w:pStyle w:val="BodyText3"/>
        <w:tabs>
          <w:tab w:val="clear" w:pos="1440"/>
          <w:tab w:val="clear" w:pos="8640"/>
        </w:tabs>
        <w:rPr>
          <w:sz w:val="22"/>
          <w:szCs w:val="22"/>
        </w:rPr>
      </w:pPr>
      <w:r>
        <w:rPr>
          <w:sz w:val="22"/>
          <w:szCs w:val="22"/>
        </w:rPr>
      </w:r>
    </w:p>
    <w:p>
      <w:pPr>
        <w:pStyle w:val="BodyText3"/>
        <w:tabs>
          <w:tab w:val="clear" w:pos="1440"/>
          <w:tab w:val="clear" w:pos="8640"/>
        </w:tabs>
        <w:spacing w:lineRule="auto" w:line="360"/>
        <w:ind w:start="720" w:end="0"/>
        <w:rPr>
          <w:sz w:val="22"/>
          <w:szCs w:val="22"/>
        </w:rPr>
      </w:pPr>
      <w:r>
        <w:rPr>
          <w:sz w:val="22"/>
          <w:szCs w:val="22"/>
        </w:rPr>
        <w:t xml:space="preserve">(i) </w:t>
        <w:tab/>
        <w:t>The Price, and</w:t>
      </w:r>
    </w:p>
    <w:p>
      <w:pPr>
        <w:pStyle w:val="BodyText3"/>
        <w:tabs>
          <w:tab w:val="clear" w:pos="1440"/>
          <w:tab w:val="clear" w:pos="8640"/>
        </w:tabs>
        <w:ind w:start="720" w:end="0"/>
        <w:rPr>
          <w:sz w:val="22"/>
          <w:szCs w:val="22"/>
        </w:rPr>
      </w:pPr>
      <w:r>
        <w:rPr>
          <w:sz w:val="22"/>
          <w:szCs w:val="22"/>
        </w:rPr>
        <w:t>(ii)</w:t>
        <w:tab/>
        <w:t>The Fair Market Price which is greater than the Price (Replacement Price) adjusted for commercially reasonable incremental transportation costs to or from the Delivery Point(s). Any reduction in the payment due to Seller shall be made in the Month following the Month in which the failure to deliver Buyer's nominated quantity occurred; provided, however, Buyer shall first provide Seller with information and documentation supporting the reduction.</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8.3</w:t>
      </w:r>
      <w:r>
        <w:rPr>
          <w:b/>
          <w:bCs/>
          <w:sz w:val="22"/>
          <w:szCs w:val="22"/>
        </w:rPr>
        <w:tab/>
        <w:t>SOLE REMEDY:  ANY REIMBURSEMENT DUE BUYER PURSUANT TO THIS ARTICLE SHALL BE BUYER'S SOLE AND EXCLUSIVE REMEDY FOR SELLER'S FAILURE TO DELIVER THE DCQ FOR THE THEN CURRENT MONTH.  ANY REIMBURSEMENT DUE SELLER PURSUANT TO THIS ARTICLE SHALL BE SELLER'S SOLE AND EXCLUSIVE REMEDY FOR BUYER'S FAILURE TO PURCHASE THE DCQ FOR THE THEN CURRENT MONTH.</w:t>
      </w:r>
    </w:p>
    <w:p>
      <w:pPr>
        <w:pStyle w:val="BodyText3"/>
        <w:tabs>
          <w:tab w:val="clear" w:pos="1440"/>
          <w:tab w:val="clear" w:pos="8640"/>
        </w:tabs>
        <w:rPr>
          <w:b/>
          <w:bCs/>
          <w:sz w:val="22"/>
          <w:szCs w:val="22"/>
        </w:rPr>
      </w:pPr>
      <w:r>
        <w:rPr>
          <w:b/>
          <w:bCs/>
          <w:sz w:val="22"/>
          <w:szCs w:val="22"/>
        </w:rPr>
        <w:t>ARTICLE 9 – FINANCIAL RESPONSIBILITY AND INFORMATION</w:t>
      </w:r>
    </w:p>
    <w:p>
      <w:pPr>
        <w:pStyle w:val="BodyText3"/>
        <w:tabs>
          <w:tab w:val="clear" w:pos="1440"/>
          <w:tab w:val="clear" w:pos="8640"/>
        </w:tabs>
        <w:rPr>
          <w:b/>
          <w:bCs/>
          <w:sz w:val="22"/>
          <w:szCs w:val="22"/>
        </w:rPr>
      </w:pPr>
      <w:r>
        <w:rPr>
          <w:b/>
          <w:bCs/>
          <w:sz w:val="22"/>
          <w:szCs w:val="22"/>
        </w:rPr>
      </w:r>
    </w:p>
    <w:p>
      <w:pPr>
        <w:pStyle w:val="BodyText3"/>
        <w:tabs>
          <w:tab w:val="clear" w:pos="1440"/>
          <w:tab w:val="clear" w:pos="8640"/>
        </w:tabs>
        <w:ind w:firstLine="720" w:end="0"/>
        <w:rPr/>
      </w:pPr>
      <w:r>
        <w:rPr>
          <w:sz w:val="22"/>
          <w:szCs w:val="22"/>
        </w:rPr>
        <w:t>9.1</w:t>
        <w:tab/>
      </w:r>
      <w:r>
        <w:rPr>
          <w:sz w:val="22"/>
          <w:szCs w:val="22"/>
          <w:u w:val="single"/>
        </w:rPr>
        <w:t>Material Adverse Change</w:t>
      </w:r>
      <w:r>
        <w:rPr>
          <w:sz w:val="22"/>
          <w:szCs w:val="22"/>
        </w:rPr>
        <w:t>. A Material Adverse Change occurs with respect to either Party or either Party’s “Guarantor” if one exists, if (i) the senior, long-term, unsecured debt rating of such Party falls below an investment grade rating by one (1) of the three (3) agreed to major rating agencies (for purposes of this determination, the three (3) major rating agencies agreed to and their corresponding minimum investment grade ratings are: Standard &amp; Poor’s Rating Services (“S&amp;P”), BBB-: Moody’s Investors Services, Inc. (“Moody’s”), Baa3; and Fitch IBCA/Duff &amp; Phelps (“Fitch”), BBB-; or (ii) there is any material change since the most recent Transaction in the condition (financial or otherwise), net worth, assets, properties or operations, or in economic conditions, which, taken as a whole, can reasonably be anticipated to impair the ability of such Party to fulfill its obligations; or (iii) the senior, long-term, unsecured debt rating of such Party’s Issuer, if any falls below A by S&amp;P, A2 by Moody’s, or A by Fitch, or such Issuer becomes unrated; or (iv) there is reasonable grounds to believe that the creditworthiness of such Party has become unsatisfactory or its ability to perform under this Agreement has been materially impaired.</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9.2</w:t>
        <w:tab/>
      </w:r>
      <w:r>
        <w:rPr>
          <w:sz w:val="22"/>
          <w:szCs w:val="22"/>
          <w:u w:val="single"/>
        </w:rPr>
        <w:t>Adequate Assurances</w:t>
      </w:r>
      <w:r>
        <w:rPr>
          <w:sz w:val="22"/>
          <w:szCs w:val="22"/>
        </w:rPr>
        <w:t>.  If a Material Adverse Change has occurred, the dissatisfied Party (the “First Party”) may make a written request of the other Party (the “Second Party”) to provide adequate assurance in an amount determined in a commercially reasonable manner, and in a form acceptable to the First Party. Upon receipt of the request, the Second Party shall have five (5) Days to provide such assurances before an Event of Default under Article 10.(iv) will be deemed to have occurred and the First Party will be entitled to the remedies set forth in Article 10 of this Agreement. If the Second Party provides adequate assurance to the First Party within five (5) Days, it is understood that the Second Party shall not in fact have defaulted under this Agreement by incurring a Material Adverse Change. Pending the receipt of adequate assurances the First Party shall have the immediate right to suspend the performance of all Transactions and withhold or suspend all payments then due to the Second Party.</w:t>
      </w:r>
    </w:p>
    <w:p>
      <w:pPr>
        <w:pStyle w:val="BodyText3"/>
        <w:tabs>
          <w:tab w:val="clear" w:pos="1440"/>
          <w:tab w:val="clear" w:pos="8640"/>
        </w:tabs>
        <w:rPr>
          <w:sz w:val="22"/>
          <w:szCs w:val="22"/>
        </w:rPr>
      </w:pPr>
      <w:r>
        <w:rPr>
          <w:sz w:val="22"/>
          <w:szCs w:val="22"/>
        </w:rPr>
      </w:r>
    </w:p>
    <w:p>
      <w:pPr>
        <w:pStyle w:val="Normal"/>
        <w:ind w:firstLine="720" w:end="0"/>
        <w:jc w:val="both"/>
        <w:rPr/>
      </w:pPr>
      <w:r>
        <w:rPr>
          <w:rFonts w:cs="Arial" w:ascii="Arial" w:hAnsi="Arial"/>
          <w:sz w:val="22"/>
          <w:szCs w:val="22"/>
        </w:rPr>
        <w:t>9.3</w:t>
        <w:tab/>
      </w:r>
      <w:r>
        <w:rPr>
          <w:rFonts w:cs="Arial" w:ascii="Arial" w:hAnsi="Arial"/>
          <w:sz w:val="22"/>
          <w:szCs w:val="22"/>
          <w:u w:val="single"/>
        </w:rPr>
        <w:t>Collateral Requirement/Termination Payment Threshold</w:t>
      </w:r>
      <w:r>
        <w:rPr>
          <w:rFonts w:cs="Arial" w:ascii="Arial" w:hAnsi="Arial"/>
          <w:sz w:val="22"/>
          <w:szCs w:val="22"/>
        </w:rPr>
        <w:t xml:space="preserve">.  If at any time and from time to time during the term of this Contract (and notwithstanding whether an Event of Default has occurred) the settlement amount that would be owed to a party in respect of all Transactions then outstanding should exceed the Posting Party's Termination Payment Threshold, such party (“Beneficiary Party”), on any Business Day, may request the other party (“Posting Party”) to deliver Eligible Collateral in an amount at least equal to the Settlement Amount in excess of the Termination Payment Threshold (rounding upwards for any fractional amount in increments equal to the Rounding Amount).  Eligible Collateral must be delivered within two (2) Business Days of the date of such notice provided that notice be given before 12:00 Noon Central Time.  On any Business Day (but no more frequently than weekly with respect to Letters of Credit and daily with respect to cash), the Posting Party, at its sole cost, may request that such Eligible Collateral be reduced correspondingly to the amount of such excess Settlement Amount (rounding downward for any fractional amount in increments equal to the Rounding Amount). </w:t>
      </w:r>
    </w:p>
    <w:p>
      <w:pPr>
        <w:pStyle w:val="Normal"/>
        <w:jc w:val="both"/>
        <w:rPr>
          <w:rFonts w:ascii="Arial" w:hAnsi="Arial" w:cs="Arial"/>
          <w:sz w:val="22"/>
          <w:szCs w:val="22"/>
        </w:rPr>
      </w:pPr>
      <w:r>
        <w:rPr>
          <w:rFonts w:cs="Arial" w:ascii="Arial" w:hAnsi="Arial"/>
          <w:sz w:val="22"/>
          <w:szCs w:val="22"/>
        </w:rPr>
      </w:r>
    </w:p>
    <w:p>
      <w:pPr>
        <w:pStyle w:val="Normal"/>
        <w:ind w:firstLine="720" w:end="0"/>
        <w:jc w:val="both"/>
        <w:rPr/>
      </w:pPr>
      <w:r>
        <w:rPr>
          <w:rFonts w:cs="Arial" w:ascii="Arial" w:hAnsi="Arial"/>
          <w:sz w:val="22"/>
          <w:szCs w:val="22"/>
        </w:rPr>
        <w:t>9.4</w:t>
        <w:tab/>
      </w:r>
      <w:r>
        <w:rPr>
          <w:rFonts w:cs="Arial" w:ascii="Arial" w:hAnsi="Arial"/>
          <w:sz w:val="22"/>
          <w:szCs w:val="22"/>
          <w:u w:val="single"/>
        </w:rPr>
        <w:t>Credit Support.</w:t>
      </w:r>
      <w:r>
        <w:rPr>
          <w:rFonts w:cs="Arial" w:ascii="Arial" w:hAnsi="Arial"/>
          <w:sz w:val="22"/>
          <w:szCs w:val="22"/>
        </w:rPr>
        <w:t xml:space="preserve">  Notwithstanding anything to the contrary, if required by either Party, and in order to secure all performance and payment obligations of the other Party hereunder, a Party (the “requesting Party”) may notify the other Party (the “providing Party”) to deliver Credit Support to the requesting Party in a form and amount acceptable to the requesting Party within five (5) Business Days of the date of requesting Party’s notice. In addition to requesting Party’s other rights hereunder, if providing Party fails to furnish the requested Credit Support within such five (5) Business Day period, requesting Party my suspend performance hereunder until such Credit Support is furnished.</w:t>
      </w:r>
      <w:r>
        <w:br w:type="page"/>
      </w:r>
    </w:p>
    <w:p>
      <w:pPr>
        <w:pStyle w:val="Heading1"/>
        <w:ind w:hanging="0" w:start="0"/>
        <w:jc w:val="both"/>
        <w:rPr>
          <w:rFonts w:ascii="Arial" w:hAnsi="Arial" w:cs="Arial"/>
          <w:sz w:val="22"/>
          <w:szCs w:val="22"/>
        </w:rPr>
      </w:pPr>
      <w:r>
        <w:rPr>
          <w:rFonts w:cs="Arial" w:ascii="Arial" w:hAnsi="Arial"/>
          <w:sz w:val="22"/>
          <w:szCs w:val="22"/>
        </w:rPr>
        <w:t>ARTICLE 10 - DEFAULT AND LIQUIDATION</w:t>
      </w:r>
    </w:p>
    <w:p>
      <w:pPr>
        <w:pStyle w:val="Normal"/>
        <w:jc w:val="both"/>
        <w:rPr>
          <w:rFonts w:ascii="Arial" w:hAnsi="Arial" w:cs="Arial"/>
          <w:sz w:val="22"/>
          <w:szCs w:val="22"/>
        </w:rPr>
      </w:pPr>
      <w:r>
        <w:rPr>
          <w:rFonts w:cs="Arial" w:ascii="Arial" w:hAnsi="Arial"/>
          <w:sz w:val="22"/>
          <w:szCs w:val="22"/>
        </w:rPr>
      </w:r>
    </w:p>
    <w:p>
      <w:pPr>
        <w:pStyle w:val="BodyText3"/>
        <w:tabs>
          <w:tab w:val="clear" w:pos="1440"/>
          <w:tab w:val="clear" w:pos="8640"/>
        </w:tabs>
        <w:ind w:firstLine="720" w:end="0"/>
        <w:rPr/>
      </w:pPr>
      <w:r>
        <w:rPr>
          <w:sz w:val="22"/>
          <w:szCs w:val="22"/>
        </w:rPr>
        <w:t>10.1</w:t>
        <w:tab/>
      </w:r>
      <w:r>
        <w:rPr>
          <w:sz w:val="22"/>
          <w:szCs w:val="22"/>
          <w:u w:val="single"/>
        </w:rPr>
        <w:t>Events of Default</w:t>
      </w:r>
      <w:r>
        <w:rPr>
          <w:sz w:val="22"/>
          <w:szCs w:val="22"/>
        </w:rPr>
        <w:t>.  In the event (each a “Default”) either Party (the “Defaulting Party”)</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270" w:start="450" w:end="0"/>
        <w:rPr>
          <w:sz w:val="22"/>
          <w:szCs w:val="22"/>
        </w:rPr>
      </w:pPr>
      <w:r>
        <w:rPr>
          <w:sz w:val="22"/>
          <w:szCs w:val="22"/>
        </w:rPr>
        <w:t>(i)</w:t>
        <w:tab/>
        <w:t xml:space="preserve">enters into Bankruptcy; </w:t>
      </w:r>
    </w:p>
    <w:p>
      <w:pPr>
        <w:pStyle w:val="BodyText3"/>
        <w:tabs>
          <w:tab w:val="clear" w:pos="1440"/>
          <w:tab w:val="clear" w:pos="8640"/>
        </w:tabs>
        <w:ind w:start="720" w:end="0"/>
        <w:rPr>
          <w:sz w:val="22"/>
          <w:szCs w:val="22"/>
        </w:rPr>
      </w:pPr>
      <w:r>
        <w:rPr>
          <w:sz w:val="22"/>
          <w:szCs w:val="22"/>
        </w:rPr>
      </w:r>
    </w:p>
    <w:p>
      <w:pPr>
        <w:pStyle w:val="BodyText3"/>
        <w:tabs>
          <w:tab w:val="clear" w:pos="1440"/>
          <w:tab w:val="clear" w:pos="8640"/>
        </w:tabs>
        <w:ind w:start="720" w:end="0"/>
        <w:rPr>
          <w:sz w:val="22"/>
          <w:szCs w:val="22"/>
        </w:rPr>
      </w:pPr>
      <w:r>
        <w:rPr>
          <w:sz w:val="22"/>
          <w:szCs w:val="22"/>
        </w:rPr>
        <w:t>(ii)</w:t>
        <w:tab/>
        <w:t>has a liquidator, administrator, receiver, trustee, conservator or similar official appointed with respect to it or any substantial portion of its property or assets;</w:t>
      </w:r>
    </w:p>
    <w:p>
      <w:pPr>
        <w:pStyle w:val="BodyText3"/>
        <w:tabs>
          <w:tab w:val="clear" w:pos="1440"/>
          <w:tab w:val="clear" w:pos="8640"/>
        </w:tabs>
        <w:ind w:start="720" w:end="0"/>
        <w:rPr>
          <w:sz w:val="22"/>
          <w:szCs w:val="22"/>
        </w:rPr>
      </w:pPr>
      <w:r>
        <w:rPr>
          <w:sz w:val="22"/>
          <w:szCs w:val="22"/>
        </w:rPr>
      </w:r>
    </w:p>
    <w:p>
      <w:pPr>
        <w:pStyle w:val="BodyText3"/>
        <w:tabs>
          <w:tab w:val="clear" w:pos="1440"/>
          <w:tab w:val="clear" w:pos="8640"/>
        </w:tabs>
        <w:ind w:start="720" w:end="0"/>
        <w:rPr>
          <w:sz w:val="22"/>
          <w:szCs w:val="22"/>
        </w:rPr>
      </w:pPr>
      <w:r>
        <w:rPr>
          <w:sz w:val="22"/>
          <w:szCs w:val="22"/>
        </w:rPr>
        <w:t>(iii)</w:t>
        <w:tab/>
        <w:t xml:space="preserve">fails to make, when due, any payment required pursuant to this Agreement if such failure is not remedied within three (3) Business Days after written notice of such failure is given to the Defaulting Party by the other Party (“Non-Defaulting Party”) and provided the payment is not the subject of a good faith dispute as described in Section 10.3; </w:t>
      </w:r>
    </w:p>
    <w:p>
      <w:pPr>
        <w:pStyle w:val="BodyText3"/>
        <w:tabs>
          <w:tab w:val="clear" w:pos="1440"/>
          <w:tab w:val="clear" w:pos="8640"/>
        </w:tabs>
        <w:ind w:start="720" w:end="0"/>
        <w:rPr>
          <w:sz w:val="22"/>
          <w:szCs w:val="22"/>
        </w:rPr>
      </w:pPr>
      <w:r>
        <w:rPr>
          <w:sz w:val="22"/>
          <w:szCs w:val="22"/>
        </w:rPr>
      </w:r>
    </w:p>
    <w:p>
      <w:pPr>
        <w:pStyle w:val="BodyText3"/>
        <w:tabs>
          <w:tab w:val="clear" w:pos="1440"/>
          <w:tab w:val="clear" w:pos="8640"/>
        </w:tabs>
        <w:ind w:start="720" w:end="0"/>
        <w:rPr>
          <w:sz w:val="22"/>
          <w:szCs w:val="22"/>
        </w:rPr>
      </w:pPr>
      <w:r>
        <w:rPr>
          <w:sz w:val="22"/>
          <w:szCs w:val="22"/>
        </w:rPr>
        <w:t>(iv)</w:t>
        <w:tab/>
        <w:t xml:space="preserve">fails to provide adequate assurance of its ability to perform all of its outstanding material obligations to the Non-Defaulting Party under the Agreement or otherwise within a period not to exceed forty-eight (48) hours (but at least one (1) Business Day) of a demand therefore when the Non-Defaulting Party has reasonable grounds for insecurity; </w:t>
      </w:r>
    </w:p>
    <w:p>
      <w:pPr>
        <w:pStyle w:val="BodyText3"/>
        <w:tabs>
          <w:tab w:val="clear" w:pos="1440"/>
          <w:tab w:val="clear" w:pos="8640"/>
        </w:tabs>
        <w:rPr>
          <w:sz w:val="22"/>
          <w:szCs w:val="22"/>
        </w:rPr>
      </w:pPr>
      <w:r>
        <w:rPr>
          <w:sz w:val="22"/>
          <w:szCs w:val="22"/>
        </w:rPr>
      </w:r>
    </w:p>
    <w:p>
      <w:pPr>
        <w:pStyle w:val="BodyText3"/>
        <w:numPr>
          <w:ilvl w:val="0"/>
          <w:numId w:val="2"/>
        </w:numPr>
        <w:tabs>
          <w:tab w:val="clear" w:pos="8640"/>
          <w:tab w:val="left" w:pos="1440" w:leader="none"/>
        </w:tabs>
        <w:rPr>
          <w:sz w:val="22"/>
          <w:szCs w:val="22"/>
        </w:rPr>
      </w:pPr>
      <w:r>
        <w:rPr>
          <w:sz w:val="22"/>
          <w:szCs w:val="22"/>
        </w:rPr>
        <w:t>fails to establish, maintain, extend or increase Eligible Collateral when required pursuant to this Agreement; then the Non-Defaulting Party shall be entitled to exercise the remedies as set forth in this Article;</w:t>
      </w:r>
    </w:p>
    <w:p>
      <w:pPr>
        <w:pStyle w:val="BodyText3"/>
        <w:tabs>
          <w:tab w:val="clear" w:pos="1440"/>
          <w:tab w:val="clear" w:pos="8640"/>
        </w:tabs>
        <w:ind w:start="720" w:end="0"/>
        <w:rPr>
          <w:sz w:val="22"/>
          <w:szCs w:val="22"/>
        </w:rPr>
      </w:pPr>
      <w:r>
        <w:rPr>
          <w:sz w:val="22"/>
          <w:szCs w:val="22"/>
        </w:rPr>
      </w:r>
    </w:p>
    <w:p>
      <w:pPr>
        <w:pStyle w:val="BodyText3"/>
        <w:numPr>
          <w:ilvl w:val="0"/>
          <w:numId w:val="2"/>
        </w:numPr>
        <w:tabs>
          <w:tab w:val="clear" w:pos="8640"/>
          <w:tab w:val="left" w:pos="1440" w:leader="none"/>
        </w:tabs>
        <w:rPr>
          <w:sz w:val="22"/>
          <w:szCs w:val="22"/>
        </w:rPr>
      </w:pPr>
      <w:r>
        <w:rPr>
          <w:sz w:val="22"/>
          <w:szCs w:val="22"/>
        </w:rPr>
        <w:t>fails to furnish Credit Support in accordance with Article 9.4.</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10.2</w:t>
        <w:tab/>
      </w:r>
      <w:r>
        <w:rPr>
          <w:sz w:val="22"/>
          <w:szCs w:val="22"/>
          <w:u w:val="single"/>
        </w:rPr>
        <w:t>Liquidation</w:t>
      </w:r>
      <w:r>
        <w:rPr>
          <w:sz w:val="22"/>
          <w:szCs w:val="22"/>
        </w:rPr>
        <w:t>.  Notwithstanding and in addition to any other provisions of the Agreement, and except as provided below, in the Event of Default, the Non-Defaulting Party shall have the right, upon at least five (5) Business Days prior written notice, to liquidate and terminate all Transactions then outstanding between the Parties (except to the extent that in the good faith opinion of the Non-Defaulting Party certain of such Transactions may not be closed out and liquidated under applicable law) at any time and from time to time (provided such Event of Default is continuing), and shall calculate, in a commercially reasonable manner, a settlement amount, discounted to its then present value, for each Firm Transaction(s) as of the time of its termination or as soon thereafter as is reasonably practicable and shall net such Settlement Amount(s) in the manner provided for in Section 10.2.2. This remedy of liquidation and termination shall not be available when a Party hereto fails to deliver or receive Gas due under a Firm Transaction, the exclusive remedy for which is set forth in Article 10.</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start="720" w:end="0"/>
        <w:rPr/>
      </w:pPr>
      <w:r>
        <w:rPr>
          <w:sz w:val="22"/>
          <w:szCs w:val="22"/>
        </w:rPr>
        <w:t>10.2.1</w:t>
        <w:tab/>
        <w:t>“</w:t>
      </w:r>
      <w:r>
        <w:rPr>
          <w:sz w:val="22"/>
          <w:szCs w:val="22"/>
          <w:u w:val="single"/>
        </w:rPr>
        <w:t>Settlement Amount(s)</w:t>
      </w:r>
      <w:r>
        <w:rPr>
          <w:sz w:val="22"/>
          <w:szCs w:val="22"/>
        </w:rPr>
        <w:t>” shall mean, with respect to a Firm Transaction and the Non-Defaulting Party, the losses and costs (or gains), expressed in U.S. Dollars, which the Non-Defaulting Party incurs as a result of the liquidation, including, but not limited to, losses and costs (or gains) based upon the then current replacement value of such Firm Transaction together with, at the Non-Defaulting Party’s option, but without duplication, all losses and costs which the Non-Defaulting Party incurs as a result of maintaining, terminating, obtaining or re-establishing any hedge or related trading positions.  The Settlement Amount shall be due to or from the Non-Defaulting Party as appropriate.</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start="720" w:end="0"/>
        <w:rPr>
          <w:sz w:val="22"/>
          <w:szCs w:val="22"/>
        </w:rPr>
      </w:pPr>
      <w:r>
        <w:rPr>
          <w:sz w:val="22"/>
          <w:szCs w:val="22"/>
        </w:rPr>
        <w:t>10.2.2</w:t>
        <w:tab/>
        <w:t>The Non-Defaulting Party shall set off (i) all such Settlement Amounts that are due to the Defaulting Party, plus (at the Non-Defaulting Party’s election) any or all other amounts due to the Defaulting Party under the Agreement against (ii) all such Settlement Amounts that are due to the Non-Defaulting Party, plus (at the Non-Defaulting Party’s election) any or all other amounts due to the Non-Defaulting Party under the Agreement, so that all such amounts shall be netted to a single liquidated amount payable by one Party to the other.  A Party with a payment obligation shall pay such amount to the other Party within one (1) Business Day of such netting.</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start="720" w:end="0"/>
        <w:rPr>
          <w:sz w:val="22"/>
          <w:szCs w:val="22"/>
        </w:rPr>
      </w:pPr>
      <w:r>
        <w:rPr>
          <w:sz w:val="22"/>
          <w:szCs w:val="22"/>
        </w:rPr>
        <w:t>10.2.3</w:t>
        <w:tab/>
        <w:t>If an event of Default occurs, notwithstanding any contrary provision of this Section 10.2, where a Default specified in Section 10.1(i) or (ii) is governed by a system of laws which does not permit the liquidation of Transactions to take place on or after the occurrence of the relevant Default in accordance with the terms of this Section 10.2, the liquidation of all outstanding Transactions shall automatically and without any notification requirements take place at a time immediately preceding the occurrence of such Default.</w:t>
      </w:r>
    </w:p>
    <w:p>
      <w:pPr>
        <w:pStyle w:val="BodyText3"/>
        <w:tabs>
          <w:tab w:val="clear" w:pos="1440"/>
          <w:tab w:val="clear" w:pos="8640"/>
        </w:tabs>
        <w:ind w:firstLine="720" w:start="720" w:end="0"/>
        <w:rPr>
          <w:sz w:val="22"/>
          <w:szCs w:val="22"/>
          <w:u w:val="single"/>
        </w:rPr>
      </w:pPr>
      <w:r>
        <w:rPr>
          <w:sz w:val="22"/>
          <w:szCs w:val="22"/>
          <w:u w:val="single"/>
        </w:rPr>
      </w:r>
    </w:p>
    <w:p>
      <w:pPr>
        <w:pStyle w:val="BodyText3"/>
        <w:tabs>
          <w:tab w:val="clear" w:pos="1440"/>
          <w:tab w:val="clear" w:pos="8640"/>
        </w:tabs>
        <w:ind w:firstLine="720" w:end="0"/>
        <w:rPr/>
      </w:pPr>
      <w:r>
        <w:rPr>
          <w:sz w:val="22"/>
          <w:szCs w:val="22"/>
        </w:rPr>
        <w:t>10.3</w:t>
        <w:tab/>
      </w:r>
      <w:r>
        <w:rPr>
          <w:sz w:val="22"/>
          <w:szCs w:val="22"/>
          <w:u w:val="single"/>
        </w:rPr>
        <w:t>Set Off of Accounts.</w:t>
      </w:r>
      <w:r>
        <w:rPr>
          <w:sz w:val="22"/>
          <w:szCs w:val="22"/>
        </w:rPr>
        <w:tab/>
        <w:t>If a Default occurs, in addition to its rights under Section 10.2 and without prejudice to exercise of its rights under Section 10.2 at any time, the Non-Defaulting Party may from time to time set off any or all amounts which the Defaulting Party owes to the Non-Defaulting Party (whether under this Agreement or otherwise and whether or not then due) against any and all amounts which it owes to the Defaulting Party (whether under this Agreement or under any other Agreements between the Parties and whether or not then due).</w:t>
      </w:r>
    </w:p>
    <w:p>
      <w:pPr>
        <w:pStyle w:val="BodyText3"/>
        <w:tabs>
          <w:tab w:val="clear" w:pos="1440"/>
          <w:tab w:val="clear" w:pos="8640"/>
        </w:tabs>
        <w:ind w:firstLine="720" w:end="0"/>
        <w:rPr>
          <w:sz w:val="22"/>
          <w:szCs w:val="22"/>
        </w:rPr>
      </w:pPr>
      <w:r>
        <w:rPr>
          <w:sz w:val="22"/>
          <w:szCs w:val="22"/>
        </w:rPr>
      </w:r>
    </w:p>
    <w:p>
      <w:pPr>
        <w:pStyle w:val="BodyText3"/>
        <w:tabs>
          <w:tab w:val="clear" w:pos="1440"/>
          <w:tab w:val="clear" w:pos="8640"/>
        </w:tabs>
        <w:ind w:firstLine="720" w:end="0"/>
        <w:rPr>
          <w:sz w:val="22"/>
          <w:szCs w:val="22"/>
        </w:rPr>
      </w:pPr>
      <w:r>
        <w:rPr>
          <w:sz w:val="22"/>
          <w:szCs w:val="22"/>
        </w:rPr>
        <w:t>In no event shall amounts actually recovered by a Non-Defaulting Party under one Section of this Article be recovered under another Section.</w:t>
      </w:r>
    </w:p>
    <w:p>
      <w:pPr>
        <w:pStyle w:val="Heading1"/>
        <w:ind w:hanging="0" w:start="0"/>
        <w:jc w:val="both"/>
        <w:rPr>
          <w:rFonts w:ascii="Arial" w:hAnsi="Arial" w:cs="Arial"/>
          <w:sz w:val="22"/>
          <w:szCs w:val="22"/>
        </w:rPr>
      </w:pPr>
      <w:r>
        <w:rPr>
          <w:rFonts w:cs="Arial" w:ascii="Arial" w:hAnsi="Arial"/>
          <w:sz w:val="22"/>
          <w:szCs w:val="22"/>
        </w:rPr>
        <w:t>ARTICLE 11 - MEASUREMENT</w:t>
      </w:r>
    </w:p>
    <w:p>
      <w:pPr>
        <w:pStyle w:val="Normal"/>
        <w:jc w:val="both"/>
        <w:rPr>
          <w:rFonts w:ascii="Arial" w:hAnsi="Arial" w:cs="Arial"/>
          <w:sz w:val="22"/>
          <w:szCs w:val="22"/>
        </w:rPr>
      </w:pPr>
      <w:r>
        <w:rPr>
          <w:rFonts w:cs="Arial" w:ascii="Arial" w:hAnsi="Arial"/>
          <w:sz w:val="22"/>
          <w:szCs w:val="22"/>
        </w:rPr>
      </w:r>
    </w:p>
    <w:p>
      <w:pPr>
        <w:pStyle w:val="BodyText3"/>
        <w:tabs>
          <w:tab w:val="clear" w:pos="1440"/>
          <w:tab w:val="clear" w:pos="8640"/>
        </w:tabs>
        <w:ind w:firstLine="720" w:end="0"/>
        <w:rPr>
          <w:sz w:val="22"/>
          <w:szCs w:val="22"/>
        </w:rPr>
      </w:pPr>
      <w:r>
        <w:rPr>
          <w:sz w:val="22"/>
          <w:szCs w:val="22"/>
        </w:rPr>
        <w:t>11.1</w:t>
        <w:tab/>
        <w:t>The Parties agree that the measurement of Gas purchased hereunder shall be performed in accordance with the established procedures by the receiving Transporter designated by Buyer to receive the Gas at the Delivery Point(s).  BTU and volume measurements shall be made at the pressure and temperature basis of the Measuring Pipeline in accordance with the provisions of such pipeline's then effective F.E.R.C. Gas Tariff, or in the event such pipeline is not subject to F.E.R.C. regulation, the applicable Gas transportation regulations or contract provisions of such pipeline.</w:t>
      </w:r>
    </w:p>
    <w:p>
      <w:pPr>
        <w:pStyle w:val="Heading1"/>
        <w:ind w:hanging="0" w:start="0"/>
        <w:jc w:val="both"/>
        <w:rPr>
          <w:rFonts w:ascii="Arial" w:hAnsi="Arial" w:cs="Arial"/>
          <w:sz w:val="22"/>
          <w:szCs w:val="22"/>
        </w:rPr>
      </w:pPr>
      <w:r>
        <w:rPr>
          <w:rFonts w:cs="Arial" w:ascii="Arial" w:hAnsi="Arial"/>
          <w:sz w:val="22"/>
          <w:szCs w:val="22"/>
        </w:rPr>
        <w:t>ARTICLE 12 – QUALITY AND PRESSURE</w:t>
      </w:r>
    </w:p>
    <w:p>
      <w:pPr>
        <w:pStyle w:val="BodyText3"/>
        <w:tabs>
          <w:tab w:val="clear" w:pos="1440"/>
          <w:tab w:val="clear" w:pos="8640"/>
        </w:tabs>
        <w:rPr>
          <w:rFonts w:ascii="Arial" w:hAnsi="Arial" w:cs="Arial"/>
          <w:sz w:val="22"/>
          <w:szCs w:val="22"/>
        </w:rPr>
      </w:pPr>
      <w:r>
        <w:rPr>
          <w:rFonts w:cs="Arial"/>
          <w:sz w:val="22"/>
          <w:szCs w:val="22"/>
        </w:rPr>
      </w:r>
    </w:p>
    <w:p>
      <w:pPr>
        <w:pStyle w:val="BodyText3"/>
        <w:tabs>
          <w:tab w:val="clear" w:pos="1440"/>
          <w:tab w:val="clear" w:pos="8640"/>
        </w:tabs>
        <w:ind w:firstLine="720" w:end="0"/>
        <w:rPr>
          <w:sz w:val="22"/>
          <w:szCs w:val="22"/>
        </w:rPr>
      </w:pPr>
      <w:r>
        <w:rPr>
          <w:sz w:val="22"/>
          <w:szCs w:val="22"/>
        </w:rPr>
        <w:t>12.1</w:t>
        <w:tab/>
        <w:t>Gas tendered for sale hereunder shall meet the quality and pressure specifications of the pipeline system and/or facilities which shall receive the Gas at the Delivery Point(s).</w:t>
      </w:r>
    </w:p>
    <w:p>
      <w:pPr>
        <w:pStyle w:val="Heading1"/>
        <w:ind w:hanging="0" w:start="0"/>
        <w:jc w:val="both"/>
        <w:rPr>
          <w:rFonts w:ascii="Arial" w:hAnsi="Arial" w:cs="Arial"/>
          <w:sz w:val="22"/>
          <w:szCs w:val="22"/>
        </w:rPr>
      </w:pPr>
      <w:r>
        <w:rPr>
          <w:rFonts w:cs="Arial" w:ascii="Arial" w:hAnsi="Arial"/>
          <w:sz w:val="22"/>
          <w:szCs w:val="22"/>
        </w:rPr>
        <w:t>ARTICLE 13 – BILLING AND PAYMENT</w:t>
      </w:r>
    </w:p>
    <w:p>
      <w:pPr>
        <w:pStyle w:val="BodyText3"/>
        <w:tabs>
          <w:tab w:val="clear" w:pos="1440"/>
          <w:tab w:val="clear" w:pos="8640"/>
        </w:tabs>
        <w:rPr>
          <w:rFonts w:ascii="Arial" w:hAnsi="Arial" w:cs="Arial"/>
          <w:sz w:val="22"/>
          <w:szCs w:val="22"/>
        </w:rPr>
      </w:pPr>
      <w:r>
        <w:rPr>
          <w:rFonts w:cs="Arial"/>
          <w:sz w:val="22"/>
          <w:szCs w:val="22"/>
        </w:rPr>
      </w:r>
    </w:p>
    <w:p>
      <w:pPr>
        <w:pStyle w:val="BodyText3"/>
        <w:tabs>
          <w:tab w:val="clear" w:pos="1440"/>
          <w:tab w:val="clear" w:pos="8640"/>
        </w:tabs>
        <w:ind w:firstLine="720" w:end="0"/>
        <w:rPr>
          <w:sz w:val="22"/>
          <w:szCs w:val="22"/>
        </w:rPr>
      </w:pPr>
      <w:r>
        <w:rPr>
          <w:sz w:val="22"/>
          <w:szCs w:val="22"/>
        </w:rPr>
        <w:t>13.1</w:t>
        <w:tab/>
        <w:t>On or before the 10th Day following the Month of deliveries of Gas hereunder, Seller shall deliver to Buyer a statement, which may be by facsimile, for the preceding Month properly identified as to the Delivery Point and applicable Transaction Confirmation showing the total quantity of Gas delivered and the amount due.  If the actual quantity delivered is not available by the contractual billing date, billing will be prepared based on the scheduled quantities.  The scheduled quantity will then be corrected to the actual quantity on the following Month’s billing or as soon thereafter as actual delivery information is available.</w:t>
      </w:r>
    </w:p>
    <w:p>
      <w:pPr>
        <w:pStyle w:val="BodyText3"/>
        <w:tabs>
          <w:tab w:val="clear" w:pos="1440"/>
          <w:tab w:val="clear" w:pos="8640"/>
        </w:tabs>
        <w:ind w:firstLine="540" w:end="0"/>
        <w:rPr>
          <w:sz w:val="22"/>
          <w:szCs w:val="22"/>
        </w:rPr>
      </w:pPr>
      <w:r>
        <w:rPr>
          <w:sz w:val="22"/>
          <w:szCs w:val="22"/>
        </w:rPr>
      </w:r>
    </w:p>
    <w:p>
      <w:pPr>
        <w:pStyle w:val="BodyText3"/>
        <w:tabs>
          <w:tab w:val="clear" w:pos="1440"/>
          <w:tab w:val="clear" w:pos="8640"/>
        </w:tabs>
        <w:ind w:firstLine="720" w:end="0"/>
        <w:rPr>
          <w:b/>
          <w:bCs/>
          <w:sz w:val="22"/>
          <w:szCs w:val="22"/>
        </w:rPr>
      </w:pPr>
      <w:r>
        <w:rPr>
          <w:sz w:val="22"/>
          <w:szCs w:val="22"/>
        </w:rPr>
        <w:t>13.2</w:t>
        <w:tab/>
        <w:t>Buyer shall remit by wire transfer the amount due pursuant to Seller’s invoice instructions, on or before the Payment Due Date.  Any amount not paid by Buyer on the Payment Due Date shall accrue interest at the Interest Rate from the Payment Due Date until the date paid. If there is a bona fide dispute with regard to any amount billed, Buyer shall nevertheless pay the total amount when due and if such dispute is settled in Buyer’s favor, the refund to Buyer from Seller shall include interest as hereinafter defined. Interest shall accrue on the amount refunded by Seller from the date Buyer paid such amount until the date such amount is refunded by Seller at the Interest Rate.</w:t>
      </w:r>
    </w:p>
    <w:p>
      <w:pPr>
        <w:pStyle w:val="BodyText3"/>
        <w:tabs>
          <w:tab w:val="clear" w:pos="1440"/>
          <w:tab w:val="clear" w:pos="8640"/>
        </w:tabs>
        <w:ind w:firstLine="540" w:end="0"/>
        <w:rPr>
          <w:b/>
          <w:bCs/>
          <w:sz w:val="22"/>
          <w:szCs w:val="22"/>
        </w:rPr>
      </w:pPr>
      <w:r>
        <w:rPr>
          <w:b/>
          <w:bCs/>
          <w:sz w:val="22"/>
          <w:szCs w:val="22"/>
        </w:rPr>
      </w:r>
    </w:p>
    <w:p>
      <w:pPr>
        <w:pStyle w:val="BodyText3"/>
        <w:tabs>
          <w:tab w:val="clear" w:pos="1440"/>
          <w:tab w:val="clear" w:pos="8640"/>
        </w:tabs>
        <w:ind w:firstLine="720" w:end="0"/>
        <w:rPr/>
      </w:pPr>
      <w:r>
        <w:rPr>
          <w:sz w:val="22"/>
          <w:szCs w:val="22"/>
        </w:rPr>
        <w:t>13.3</w:t>
        <w:tab/>
      </w:r>
      <w:r>
        <w:rPr>
          <w:sz w:val="22"/>
          <w:szCs w:val="22"/>
          <w:u w:val="single"/>
        </w:rPr>
        <w:t>Netting.</w:t>
      </w:r>
      <w:r>
        <w:rPr>
          <w:sz w:val="22"/>
          <w:szCs w:val="22"/>
        </w:rPr>
        <w:t xml:space="preserve">  If in any Month, each Party is required to pay an amount or amounts to the other Party under this Agreement, under any Transaction or under any other Agreement between the Parties for sale, transportation, or storage of Gas, then the amount(s) which each Party owes the other shall be netted, and the Party owing the greater amount shall pay the difference to the Party owing the lesser amount. The Parties shall confer and cooperate as appropriate to administer this Section. Upon either Party’s request, Buyer and/or Seller shall provide support documentation in order to determine the final settlement amount due for each delivery Month. Each Party shall exercise reasonable efforts to provide support documentation that is inclusive of volume and Price (by location) data for the applicable delivery month.</w:t>
      </w:r>
      <w:r>
        <w:rPr>
          <w:spacing w:val="-2"/>
          <w:sz w:val="22"/>
          <w:szCs w:val="22"/>
          <w:u w:val="single"/>
        </w:rPr>
        <w:t xml:space="preserve"> </w:t>
      </w:r>
    </w:p>
    <w:p>
      <w:pPr>
        <w:pStyle w:val="BodyText3"/>
        <w:tabs>
          <w:tab w:val="clear" w:pos="1440"/>
          <w:tab w:val="clear" w:pos="8640"/>
        </w:tabs>
        <w:ind w:firstLine="540" w:end="0"/>
        <w:rPr>
          <w:spacing w:val="-2"/>
          <w:sz w:val="22"/>
          <w:szCs w:val="22"/>
          <w:u w:val="single"/>
        </w:rPr>
      </w:pPr>
      <w:r>
        <w:rPr>
          <w:spacing w:val="-2"/>
          <w:sz w:val="22"/>
          <w:szCs w:val="22"/>
          <w:u w:val="single"/>
        </w:rPr>
      </w:r>
    </w:p>
    <w:p>
      <w:pPr>
        <w:pStyle w:val="BodyText3"/>
        <w:tabs>
          <w:tab w:val="clear" w:pos="1440"/>
          <w:tab w:val="clear" w:pos="8640"/>
        </w:tabs>
        <w:ind w:firstLine="720" w:end="0"/>
        <w:rPr/>
      </w:pPr>
      <w:r>
        <w:rPr>
          <w:spacing w:val="-2"/>
          <w:sz w:val="22"/>
          <w:szCs w:val="22"/>
        </w:rPr>
        <w:t>13.4</w:t>
        <w:tab/>
      </w:r>
      <w:r>
        <w:rPr>
          <w:spacing w:val="-2"/>
          <w:sz w:val="22"/>
          <w:szCs w:val="22"/>
          <w:u w:val="single"/>
        </w:rPr>
        <w:t>Audit</w:t>
      </w:r>
      <w:r>
        <w:rPr>
          <w:spacing w:val="-2"/>
          <w:sz w:val="22"/>
          <w:szCs w:val="22"/>
        </w:rPr>
        <w:t>.  Each Party shall have the right, at its own expense, at reasonable hours to examine the records of the other party to the extent necessary to verify the accuracy of any statement or other data that may reasonably have a bearing on or pertain to any business conducted hereunder between the parties; provided, however, that the auditing party does not have the right to examine any record relating to Transactions that occurred more than two (2) years before the date of the audit.  In the event of any inaccuracy, any necessary adjustments in the billing shall be made within thirty (30) Days after the determination thereof.  This provision shall survive any termination of this Agreement.</w:t>
      </w:r>
    </w:p>
    <w:p>
      <w:pPr>
        <w:pStyle w:val="BodyText3"/>
        <w:tabs>
          <w:tab w:val="clear" w:pos="1440"/>
          <w:tab w:val="clear" w:pos="8640"/>
        </w:tabs>
        <w:ind w:firstLine="540" w:end="0"/>
        <w:rPr>
          <w:spacing w:val="-2"/>
          <w:sz w:val="22"/>
          <w:szCs w:val="22"/>
        </w:rPr>
      </w:pPr>
      <w:r>
        <w:rPr>
          <w:spacing w:val="-2"/>
          <w:sz w:val="22"/>
          <w:szCs w:val="22"/>
        </w:rPr>
      </w:r>
    </w:p>
    <w:p>
      <w:pPr>
        <w:pStyle w:val="STANDARD"/>
        <w:tabs>
          <w:tab w:val="clear" w:pos="720"/>
          <w:tab w:val="clear" w:pos="1440"/>
          <w:tab w:val="clear" w:pos="2160"/>
          <w:tab w:val="clear" w:pos="2880"/>
          <w:tab w:val="clear" w:pos="3600"/>
          <w:tab w:val="clear" w:pos="4320"/>
          <w:tab w:val="clear" w:pos="5040"/>
        </w:tabs>
        <w:jc w:val="both"/>
        <w:rPr/>
      </w:pPr>
      <w:r>
        <w:rPr>
          <w:rFonts w:cs="Arial" w:ascii="Arial" w:hAnsi="Arial"/>
          <w:sz w:val="22"/>
          <w:szCs w:val="22"/>
        </w:rPr>
        <w:t xml:space="preserve">13.5  </w:t>
      </w:r>
      <w:r>
        <w:rPr>
          <w:rFonts w:cs="Arial" w:ascii="Arial" w:hAnsi="Arial"/>
          <w:sz w:val="22"/>
          <w:szCs w:val="22"/>
          <w:u w:val="single"/>
        </w:rPr>
        <w:t>Overcharges; Undercharges</w:t>
      </w:r>
      <w:r>
        <w:rPr>
          <w:rFonts w:cs="Arial" w:ascii="Arial" w:hAnsi="Arial"/>
          <w:sz w:val="22"/>
          <w:szCs w:val="22"/>
        </w:rPr>
        <w:t xml:space="preserve">. </w:t>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(a)</w:t>
        <w:tab/>
        <w:t>Buyer shall have no claim for refund of an overcharge under this Agreement or under any Transaction unless Buyer notifies Seller of its claim within 24 Months after the date of the statement rendered by Seller on which the overcharge appeared or, if the claim is based on a quantity adjustment by a Transporter, within 24 Months after the date on which the Transporter made the adjustment.</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start="1260" w:end="0"/>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(b)</w:t>
        <w:tab/>
        <w:t>Seller shall have no claim for payment of an undercharge under this Agreement or under any Transaction unless Seller notifies Buyer of its claim within 24 Months after the date of the statement rendered by Seller on which the undercharge appeared or, if the claim is based on a quantity adjustment by a Transporter, within 24 Months after the date on which the Transporter made the adjustment.</w:t>
      </w:r>
    </w:p>
    <w:p>
      <w:pPr>
        <w:pStyle w:val="Heading1"/>
        <w:ind w:hanging="0" w:start="0"/>
        <w:jc w:val="both"/>
        <w:rPr>
          <w:rFonts w:ascii="Arial" w:hAnsi="Arial" w:cs="Arial"/>
          <w:sz w:val="22"/>
          <w:szCs w:val="22"/>
        </w:rPr>
      </w:pPr>
      <w:r>
        <w:rPr>
          <w:rFonts w:cs="Arial" w:ascii="Arial" w:hAnsi="Arial"/>
          <w:sz w:val="22"/>
          <w:szCs w:val="22"/>
        </w:rPr>
        <w:t>ARTICLE 14 - TAXES</w:t>
      </w:r>
    </w:p>
    <w:p>
      <w:pPr>
        <w:pStyle w:val="BodyText3"/>
        <w:tabs>
          <w:tab w:val="clear" w:pos="1440"/>
          <w:tab w:val="clear" w:pos="8640"/>
        </w:tabs>
        <w:rPr>
          <w:rFonts w:ascii="Arial" w:hAnsi="Arial" w:cs="Arial"/>
          <w:sz w:val="22"/>
          <w:szCs w:val="22"/>
        </w:rPr>
      </w:pPr>
      <w:r>
        <w:rPr>
          <w:rFonts w:cs="Arial"/>
          <w:sz w:val="22"/>
          <w:szCs w:val="22"/>
        </w:rPr>
      </w:r>
    </w:p>
    <w:p>
      <w:pPr>
        <w:pStyle w:val="BodyText3"/>
        <w:tabs>
          <w:tab w:val="clear" w:pos="1440"/>
          <w:tab w:val="clear" w:pos="8640"/>
        </w:tabs>
        <w:ind w:firstLine="720" w:end="0"/>
        <w:rPr>
          <w:sz w:val="22"/>
          <w:szCs w:val="22"/>
        </w:rPr>
      </w:pPr>
      <w:r>
        <w:rPr>
          <w:sz w:val="22"/>
          <w:szCs w:val="22"/>
        </w:rPr>
        <w:t>14.1</w:t>
        <w:tab/>
        <w:t>As between the Parties, Seller will pay, or cause to be paid, all Taxes or other sums due on production, gathering, processing or severance of the Gas prior to delivery to Buyer at the Delivery Point(s).  All such Taxes shall be paid by Seller directly to the taxing authority unless Buyer is required by law to collect and remit such Taxes, in which event Buyer shall withhold from payments to Seller an amount required to be collected and remitted by Buyer.  If any such Tax is claimed, assessed or levied on Buyer, then Seller shall reimburse Buyer for the amount of such Tax.  Buyer will pay or cause to be paid, all Taxes upon and after delivery to Buyer (including without limitation sales, use or gross receipts Taxes) unless Buyer furnishes Seller with applicable exemption certificates.  In the event a national energy, BTU, consumption, or use Tax shall be imposed, both Buyer and Seller shall work to reasonably apportion said Tax, taking into account the ability of either Party to pass through all or a part of such Tax provided, however, that no Tax whether existing or future shall render either Party economically incapable of continuing its performance hereunder.</w:t>
      </w:r>
    </w:p>
    <w:p>
      <w:pPr>
        <w:pStyle w:val="Heading1"/>
        <w:ind w:hanging="0" w:start="0"/>
        <w:jc w:val="both"/>
        <w:rPr>
          <w:rFonts w:ascii="Arial" w:hAnsi="Arial" w:cs="Arial"/>
          <w:sz w:val="22"/>
          <w:szCs w:val="22"/>
        </w:rPr>
      </w:pPr>
      <w:r>
        <w:rPr>
          <w:rFonts w:cs="Arial" w:ascii="Arial" w:hAnsi="Arial"/>
          <w:sz w:val="22"/>
          <w:szCs w:val="22"/>
        </w:rPr>
        <w:t>ARTICLE 15 – TITLE, WARRANTY AND INDEMNITY</w:t>
      </w:r>
    </w:p>
    <w:p>
      <w:pPr>
        <w:pStyle w:val="BodyText3"/>
        <w:tabs>
          <w:tab w:val="clear" w:pos="1440"/>
          <w:tab w:val="clear" w:pos="8640"/>
        </w:tabs>
        <w:rPr>
          <w:rFonts w:ascii="Arial" w:hAnsi="Arial" w:cs="Arial"/>
          <w:sz w:val="22"/>
          <w:szCs w:val="22"/>
        </w:rPr>
      </w:pPr>
      <w:r>
        <w:rPr>
          <w:rFonts w:cs="Arial"/>
          <w:sz w:val="22"/>
          <w:szCs w:val="22"/>
        </w:rPr>
      </w:r>
    </w:p>
    <w:p>
      <w:pPr>
        <w:pStyle w:val="BodyText3"/>
        <w:tabs>
          <w:tab w:val="clear" w:pos="1440"/>
          <w:tab w:val="clear" w:pos="8640"/>
        </w:tabs>
        <w:ind w:firstLine="720" w:end="0"/>
        <w:rPr>
          <w:sz w:val="22"/>
          <w:szCs w:val="22"/>
        </w:rPr>
      </w:pPr>
      <w:r>
        <w:rPr>
          <w:sz w:val="22"/>
          <w:szCs w:val="22"/>
        </w:rPr>
        <w:t>15.1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sz w:val="22"/>
          <w:szCs w:val="22"/>
        </w:rPr>
      </w:pPr>
      <w:r>
        <w:rPr>
          <w:sz w:val="22"/>
          <w:szCs w:val="22"/>
        </w:rPr>
        <w:t>15.2</w:t>
        <w:tab/>
        <w:t>Seller warrants that it will have good and marketable title to or will have the right to deliver all Gas sold hereunder and delivered by it to Buyer, free and clear of all liens, encumbrances, and claims.</w:t>
      </w:r>
    </w:p>
    <w:p>
      <w:pPr>
        <w:pStyle w:val="BodyText3"/>
        <w:tabs>
          <w:tab w:val="clear" w:pos="1440"/>
          <w:tab w:val="clear" w:pos="8640"/>
        </w:tabs>
        <w:rPr>
          <w:sz w:val="22"/>
          <w:szCs w:val="22"/>
        </w:rPr>
      </w:pPr>
      <w:r>
        <w:rPr>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jc w:val="both"/>
        <w:rPr/>
      </w:pPr>
      <w:r>
        <w:rPr>
          <w:rFonts w:cs="Arial" w:ascii="Arial" w:hAnsi="Arial"/>
          <w:sz w:val="22"/>
          <w:szCs w:val="22"/>
        </w:rPr>
        <w:t>15. 3</w:t>
      </w:r>
      <w:r>
        <w:fldChar w:fldCharType="begin"/>
      </w:r>
      <w:r>
        <w:rPr/>
        <w:instrText xml:space="preserve"> TC "2.1</w:instrText>
        <w:tab/>
        <w:instrText xml:space="preserve">Title/l2" \l 1 </w:instrText>
      </w:r>
      <w:r>
        <w:rPr/>
        <w:fldChar w:fldCharType="separate"/>
      </w:r>
      <w:r>
        <w:rPr/>
      </w:r>
      <w:r>
        <w:rPr/>
        <w:fldChar w:fldCharType="end"/>
      </w:r>
      <w:r>
        <w:rPr>
          <w:rFonts w:cs="Arial" w:ascii="Arial" w:hAnsi="Arial"/>
          <w:sz w:val="22"/>
          <w:szCs w:val="22"/>
        </w:rPr>
        <w:tab/>
      </w:r>
      <w:r>
        <w:rPr>
          <w:rFonts w:cs="Arial" w:ascii="Arial" w:hAnsi="Arial"/>
          <w:sz w:val="22"/>
          <w:szCs w:val="22"/>
          <w:u w:val="single"/>
        </w:rPr>
        <w:t>Execution and Performance</w:t>
      </w:r>
      <w:r>
        <w:rPr>
          <w:rFonts w:cs="Arial" w:ascii="Arial" w:hAnsi="Arial"/>
          <w:sz w:val="22"/>
          <w:szCs w:val="22"/>
        </w:rPr>
        <w:t>. As a material inducement to the other Party to enter into this Agreement and into Transactions, each Party makes the following representations and warranties, both with respect to this Agreement and with respect to each Transaction.</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end="0"/>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(a)</w:t>
        <w:tab/>
        <w:t>It has the requisite power and authority to execute, deliver and perform this Agreement and Transactions; its execution, delivery and performance of this Agreement and of Transactions have been duly authorized by all necessary corporate or governmental authorizations or actions; and this Agreement has been duly executed and delivered on behalf of such Party.</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end="0"/>
        <w:jc w:val="both"/>
        <w:rPr>
          <w:rFonts w:ascii="Arial" w:hAnsi="Arial" w:cs="Arial"/>
          <w:sz w:val="22"/>
          <w:szCs w:val="22"/>
        </w:rPr>
      </w:pPr>
      <w:r>
        <w:rPr>
          <w:rFonts w:cs="Arial" w:ascii="Arial" w:hAnsi="Arial"/>
          <w:sz w:val="22"/>
          <w:szCs w:val="22"/>
        </w:rPr>
        <w:tab/>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(b)</w:t>
        <w:tab/>
        <w:t>It is not in default of, nor can it reasonably anticipate being in default of, any legally binding obligation, or any rule, regulation, order, or judgment of any court or other government authority, which default would have a material adverse effect on its ability to perform this Agreement or Transactions.</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end="0"/>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(c)</w:t>
        <w:tab/>
        <w:t>No material consent, approval, order or authorization of, or registration, declaration or filing with any government agency or court is required to be obtained or made in connection with the execution, delivery or performance of this Agreement or of Transactions.</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end="0"/>
        <w:jc w:val="both"/>
        <w:rPr>
          <w:rFonts w:ascii="Arial" w:hAnsi="Arial" w:cs="Arial"/>
          <w:sz w:val="22"/>
          <w:szCs w:val="22"/>
        </w:rPr>
      </w:pPr>
      <w:r>
        <w:rPr>
          <w:rFonts w:cs="Arial" w:ascii="Arial" w:hAnsi="Arial"/>
          <w:sz w:val="22"/>
          <w:szCs w:val="22"/>
        </w:rPr>
        <w:tab/>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(d)</w:t>
        <w:tab/>
        <w:t>This Agreement and Transactions will constitute its legal, valid and binding acts and obligations, enforceable against it in accordance with their terms, subject to Bankruptcy, insolvency, reorganization and other laws affecting creditor’s rights generally and to equitable principles of general application.</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end="0"/>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(e)</w:t>
        <w:tab/>
        <w:t>The making and performance of this Agreement and of Transactions do not and will not violate any applicable provision of law, any applicable rule, regulation, order, judgment, decree, policy (internal or otherwise) or any other applicable determination.</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end="0"/>
        <w:jc w:val="both"/>
        <w:rPr>
          <w:rFonts w:ascii="Arial" w:hAnsi="Arial" w:cs="Arial"/>
          <w:sz w:val="22"/>
          <w:szCs w:val="22"/>
        </w:rPr>
      </w:pPr>
      <w:r>
        <w:rPr>
          <w:rFonts w:cs="Arial" w:ascii="Arial" w:hAnsi="Arial"/>
          <w:sz w:val="22"/>
          <w:szCs w:val="22"/>
        </w:rPr>
        <w:tab/>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(f)</w:t>
        <w:tab/>
        <w:t>It has financial resources sufficient to enable it to perform this Agreement and Transactions; and there are no proceedings pending against it, contemplated by it, or threatened against it which could cause it to become an insolvent Party.</w:t>
      </w:r>
    </w:p>
    <w:p>
      <w:pPr>
        <w:pStyle w:val="STANDARD"/>
        <w:tabs>
          <w:tab w:val="clear" w:pos="720"/>
          <w:tab w:val="clear" w:pos="1440"/>
          <w:tab w:val="clear" w:pos="2160"/>
          <w:tab w:val="clear" w:pos="2880"/>
          <w:tab w:val="clear" w:pos="3600"/>
          <w:tab w:val="clear" w:pos="4320"/>
          <w:tab w:val="clear" w:pos="5040"/>
        </w:tabs>
        <w:spacing w:lineRule="auto" w:line="240" w:before="0" w:after="0"/>
        <w:ind w:hanging="0" w:end="0"/>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jc w:val="both"/>
        <w:rPr/>
      </w:pPr>
      <w:r>
        <w:rPr>
          <w:rFonts w:cs="Arial" w:ascii="Arial" w:hAnsi="Arial"/>
          <w:sz w:val="22"/>
          <w:szCs w:val="22"/>
        </w:rPr>
        <w:t xml:space="preserve">15.4   </w:t>
      </w:r>
      <w:r>
        <w:rPr>
          <w:rFonts w:cs="Arial" w:ascii="Arial" w:hAnsi="Arial"/>
          <w:sz w:val="22"/>
          <w:szCs w:val="22"/>
          <w:u w:val="single"/>
        </w:rPr>
        <w:t>Execution</w:t>
      </w:r>
      <w:r>
        <w:rPr>
          <w:rFonts w:cs="Arial" w:ascii="Arial" w:hAnsi="Arial"/>
          <w:sz w:val="22"/>
          <w:szCs w:val="22"/>
        </w:rPr>
        <w:t>. Each person who executes this Agreement on behalf of a Party represents and warrants that he or she has full and complete authority to do so and that such Party will be bound thereby.</w:t>
      </w:r>
    </w:p>
    <w:p>
      <w:pPr>
        <w:pStyle w:val="BodyText3"/>
        <w:tabs>
          <w:tab w:val="clear" w:pos="1440"/>
          <w:tab w:val="clear" w:pos="8640"/>
        </w:tabs>
        <w:rPr>
          <w:rFonts w:ascii="Arial" w:hAnsi="Arial" w:cs="Arial"/>
          <w:sz w:val="22"/>
          <w:szCs w:val="22"/>
        </w:rPr>
      </w:pPr>
      <w:r>
        <w:rPr>
          <w:rFonts w:cs="Arial"/>
          <w:sz w:val="22"/>
          <w:szCs w:val="22"/>
        </w:rPr>
      </w:r>
    </w:p>
    <w:p>
      <w:pPr>
        <w:pStyle w:val="BodyText3"/>
        <w:tabs>
          <w:tab w:val="clear" w:pos="1440"/>
          <w:tab w:val="clear" w:pos="8640"/>
        </w:tabs>
        <w:ind w:firstLine="720" w:end="0"/>
        <w:rPr>
          <w:sz w:val="22"/>
          <w:szCs w:val="22"/>
        </w:rPr>
      </w:pPr>
      <w:r>
        <w:rPr>
          <w:sz w:val="22"/>
          <w:szCs w:val="22"/>
        </w:rPr>
        <w:t>15.5</w:t>
        <w:tab/>
        <w:t>Seller agrees to indemnify Buyer and save it harmless from all losses, liabilities or claims, including attorneys' fees and costs of court (“Claims”), arising from or out of claims of title, personal injury or property damage from any or all persons to said Gas or other charges thereon which attach before title passes to Buyer.  Buyer agrees to indemnify Seller and save it harmless from all Claims arising from or out of claims regarding payment, personal injury or property damage from said Gas or other charges thereon which attach after title passes to Buyer.</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sz w:val="22"/>
          <w:szCs w:val="22"/>
        </w:rPr>
      </w:pPr>
      <w:r>
        <w:rPr>
          <w:sz w:val="22"/>
          <w:szCs w:val="22"/>
        </w:rPr>
        <w:t>15.6</w:t>
        <w:tab/>
        <w:t>In the event of any claim or litigation, at any time, concerning Seller's title to the  Gas sold hereunder or the proceeds from the sale thereof, Buyer shall be entitled to suspend payments to Seller until such claims or litigation of title is resolved to Buyer's satisfaction.</w:t>
      </w:r>
    </w:p>
    <w:p>
      <w:pPr>
        <w:pStyle w:val="Heading1"/>
        <w:ind w:hanging="0" w:start="0"/>
        <w:jc w:val="both"/>
        <w:rPr>
          <w:rFonts w:ascii="Arial" w:hAnsi="Arial" w:cs="Arial"/>
          <w:sz w:val="22"/>
          <w:szCs w:val="22"/>
        </w:rPr>
      </w:pPr>
      <w:r>
        <w:rPr>
          <w:rFonts w:cs="Arial" w:ascii="Arial" w:hAnsi="Arial"/>
          <w:sz w:val="22"/>
          <w:szCs w:val="22"/>
        </w:rPr>
        <w:t>ARTICLE 16 – FORCE MAJEURE</w:t>
      </w:r>
    </w:p>
    <w:p>
      <w:pPr>
        <w:pStyle w:val="BodyText3"/>
        <w:tabs>
          <w:tab w:val="clear" w:pos="1440"/>
          <w:tab w:val="clear" w:pos="8640"/>
        </w:tabs>
        <w:rPr>
          <w:rFonts w:ascii="Arial" w:hAnsi="Arial" w:cs="Arial"/>
          <w:sz w:val="22"/>
          <w:szCs w:val="22"/>
        </w:rPr>
      </w:pPr>
      <w:r>
        <w:rPr>
          <w:rFonts w:cs="Arial"/>
          <w:sz w:val="22"/>
          <w:szCs w:val="22"/>
        </w:rPr>
      </w:r>
    </w:p>
    <w:p>
      <w:pPr>
        <w:pStyle w:val="BodyText3"/>
        <w:tabs>
          <w:tab w:val="clear" w:pos="1440"/>
          <w:tab w:val="clear" w:pos="8640"/>
        </w:tabs>
        <w:ind w:firstLine="720" w:end="0"/>
        <w:rPr/>
      </w:pPr>
      <w:r>
        <w:rPr>
          <w:sz w:val="22"/>
          <w:szCs w:val="22"/>
        </w:rPr>
        <w:t>16.1</w:t>
        <w:tab/>
      </w:r>
      <w:r>
        <w:rPr>
          <w:sz w:val="22"/>
          <w:szCs w:val="22"/>
          <w:u w:val="single"/>
        </w:rPr>
        <w:t>Force Majeure Events</w:t>
      </w:r>
      <w:r>
        <w:rPr>
          <w:sz w:val="22"/>
          <w:szCs w:val="22"/>
        </w:rPr>
        <w:t>.  Any of Buyer’s or Seller’s obligations to perform this Agreement or any Transaction, including without limitation the obligation to accept or to deliver Gas, shall be suspended on the occurrence of any of the following events for so long as, and to the extent that, such event renders Buyer or Seller unable to perform such obligation. Such events of Force Majeure shall include but not be limited to the following:  (i) acts of God, landslides, lightning, earthquakes, fires, hurricanes, tornadoes, storms or storm warnings which result in evacuation of the affected area, floods, washouts, explosions, breakage or accident or necessity of repairs or maintenance to machinery or equipment or lines of pipe; (ii) weather related events such as hurricanes, or freezing or failure of wells or lines of pipe; (iii) acts of others such as strikes, riots, sabotage, insurrections or wars; (iv) governmental actions such as necessity for compliance with any court order, law, statute, ordinance, or regulation promulgated by a governmental authority having jurisdiction; and (v) any other causes, whether of the kind herein enumerated or otherwise, not reasonably within the control of the affected Party.  Seller and Buyer shall make reasonable efforts to avoid the adverse impacts of a Force Majeure and to resolve the event or occurrence once it has occurred in order to resume performance.  Notwithstanding anything to the contrary herein, the Parties agree that the settlement of strikes, lockouts or other industrial disturbances shall be entirely within the sole discretion of the Party experiencing such disturbance.</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16.2</w:t>
        <w:tab/>
      </w:r>
      <w:r>
        <w:rPr>
          <w:sz w:val="22"/>
          <w:szCs w:val="22"/>
          <w:u w:val="single"/>
        </w:rPr>
        <w:t>Notice</w:t>
      </w:r>
      <w:r>
        <w:rPr>
          <w:sz w:val="22"/>
          <w:szCs w:val="22"/>
        </w:rPr>
        <w:t>.  Buyer or Seller, as the case may be, shall as soon as practicable give the other Party notice, including reasonably full particulars, of suspension of performance hereunder.</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16.3</w:t>
        <w:tab/>
      </w:r>
      <w:r>
        <w:rPr>
          <w:sz w:val="22"/>
          <w:szCs w:val="22"/>
          <w:u w:val="single"/>
        </w:rPr>
        <w:t>Remedy of Cause</w:t>
      </w:r>
      <w:r>
        <w:rPr>
          <w:sz w:val="22"/>
          <w:szCs w:val="22"/>
        </w:rPr>
        <w:t>.  Buyer or Seller, as the case may be, shall remedy the cause of suspension of performance hereunder with reasonable dispatch; provided that nothing herein imposes any obligation to settle a strike or a lockout.</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16.4</w:t>
        <w:tab/>
      </w:r>
      <w:r>
        <w:rPr>
          <w:sz w:val="22"/>
          <w:szCs w:val="22"/>
          <w:u w:val="single"/>
        </w:rPr>
        <w:t>Payments Not Suspended</w:t>
      </w:r>
      <w:r>
        <w:rPr>
          <w:sz w:val="22"/>
          <w:szCs w:val="22"/>
        </w:rPr>
        <w:t>.  Suspension of obligations hereunder shall not suspend any obligation to pay amounts due at the time of suspension or any amounts which become due by reason of delivery of Gas prior to the suspension or any other occurrence prior to the suspension.</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16.5</w:t>
        <w:tab/>
      </w:r>
      <w:r>
        <w:rPr>
          <w:sz w:val="22"/>
          <w:szCs w:val="22"/>
          <w:u w:val="single"/>
        </w:rPr>
        <w:t>No Prejudice</w:t>
      </w:r>
      <w:r>
        <w:rPr>
          <w:sz w:val="22"/>
          <w:szCs w:val="22"/>
        </w:rPr>
        <w:t>.  While its obligations are suspended hereunder, Buyer or Seller, as the case may be, shall be relieved of liability and shall suffer no prejudice for failure to perform.</w:t>
      </w:r>
    </w:p>
    <w:p>
      <w:pPr>
        <w:pStyle w:val="BodyText3"/>
        <w:tabs>
          <w:tab w:val="clear" w:pos="1440"/>
          <w:tab w:val="clear" w:pos="8640"/>
        </w:tabs>
        <w:rPr>
          <w:sz w:val="22"/>
          <w:szCs w:val="22"/>
        </w:rPr>
      </w:pPr>
      <w:r>
        <w:rPr>
          <w:sz w:val="22"/>
          <w:szCs w:val="22"/>
        </w:rPr>
      </w:r>
    </w:p>
    <w:p>
      <w:pPr>
        <w:pStyle w:val="BodyText3"/>
        <w:tabs>
          <w:tab w:val="clear" w:pos="1440"/>
          <w:tab w:val="clear" w:pos="8640"/>
        </w:tabs>
        <w:ind w:firstLine="720" w:end="0"/>
        <w:rPr/>
      </w:pPr>
      <w:r>
        <w:rPr>
          <w:sz w:val="22"/>
          <w:szCs w:val="22"/>
        </w:rPr>
        <w:t>16.6</w:t>
        <w:tab/>
      </w:r>
      <w:r>
        <w:rPr>
          <w:b/>
          <w:bCs/>
          <w:sz w:val="22"/>
          <w:szCs w:val="22"/>
          <w:u w:val="single"/>
        </w:rPr>
        <w:t>This Section shall apply only to EFP</w:t>
      </w:r>
      <w:r>
        <w:rPr>
          <w:sz w:val="22"/>
          <w:szCs w:val="22"/>
        </w:rPr>
        <w:t>.  Force Majeure shall also include the inability to transact futures trading for any reason beyond the reasonable control of Buyer, including without limitation closing of the NYMEX or applicable futures trading board, any refusal by the NYMEX or applicable futures trading board to allow trading during normal trading hours; failure of telecommunications lines or of computer or other equipment utilized in trading; and other such causes.</w:t>
      </w:r>
    </w:p>
    <w:p>
      <w:pPr>
        <w:pStyle w:val="BodyText3"/>
        <w:tabs>
          <w:tab w:val="clear" w:pos="1440"/>
          <w:tab w:val="clear" w:pos="8640"/>
        </w:tabs>
        <w:rPr>
          <w:sz w:val="22"/>
          <w:szCs w:val="22"/>
        </w:rPr>
      </w:pPr>
      <w:r>
        <w:rPr>
          <w:sz w:val="22"/>
          <w:szCs w:val="22"/>
        </w:rPr>
      </w:r>
    </w:p>
    <w:p>
      <w:pPr>
        <w:pStyle w:val="BodyText3"/>
        <w:tabs>
          <w:tab w:val="clear" w:pos="1440"/>
          <w:tab w:val="clear" w:pos="8640"/>
          <w:tab w:val="left" w:pos="540" w:leader="none"/>
        </w:tabs>
        <w:rPr/>
      </w:pPr>
      <w:r>
        <w:rPr>
          <w:sz w:val="22"/>
          <w:szCs w:val="22"/>
        </w:rPr>
        <w:tab/>
        <w:tab/>
        <w:t>16.7</w:t>
        <w:tab/>
      </w:r>
      <w:r>
        <w:rPr>
          <w:b/>
          <w:bCs/>
          <w:sz w:val="22"/>
          <w:szCs w:val="22"/>
          <w:u w:val="single"/>
        </w:rPr>
        <w:t>This Section shall apply only to Firm and EFP</w:t>
      </w:r>
      <w:r>
        <w:rPr>
          <w:sz w:val="22"/>
          <w:szCs w:val="22"/>
        </w:rPr>
        <w:t>.  The term Force Majeure as used herein specifically excludes the following occurrences or events:  (i) the loss, interruption, or curtailment of interruptible transportation on any Transporter necessary to make or accept delivery of Gas hereunder, unless and to the extent the same event also curtails firm transportation at the same point; (ii) loss of markets or either Parties’ inability to economically use or resell Gas purchased under this Agreement; (iii) the depletion of Seller's reserves, or (iv) failure of specific, individual wells or appurtenant facilities in the absence of a Force Majeure event broadly affecting other wells or facilities in the general geographic area.</w:t>
      </w:r>
    </w:p>
    <w:p>
      <w:pPr>
        <w:pStyle w:val="BodyText3"/>
        <w:tabs>
          <w:tab w:val="clear" w:pos="1440"/>
          <w:tab w:val="clear" w:pos="8640"/>
        </w:tabs>
        <w:ind w:firstLine="720" w:end="0"/>
        <w:rPr>
          <w:sz w:val="22"/>
          <w:szCs w:val="22"/>
        </w:rPr>
      </w:pPr>
      <w:r>
        <w:rPr>
          <w:sz w:val="22"/>
          <w:szCs w:val="22"/>
        </w:rPr>
      </w:r>
    </w:p>
    <w:p>
      <w:pPr>
        <w:pStyle w:val="BodyText3"/>
        <w:tabs>
          <w:tab w:val="clear" w:pos="1440"/>
          <w:tab w:val="clear" w:pos="8640"/>
        </w:tabs>
        <w:ind w:firstLine="720" w:end="0"/>
        <w:rPr>
          <w:sz w:val="22"/>
          <w:szCs w:val="22"/>
        </w:rPr>
      </w:pPr>
      <w:r>
        <w:rPr>
          <w:sz w:val="22"/>
          <w:szCs w:val="22"/>
        </w:rPr>
        <w:t>16.8</w:t>
        <w:tab/>
        <w:t>This Article 16 shall not apply to any Interruptible Transaction except for penalties as described in Article 5.1.</w:t>
      </w:r>
    </w:p>
    <w:p>
      <w:pPr>
        <w:pStyle w:val="Heading1"/>
        <w:ind w:hanging="0" w:start="0"/>
        <w:jc w:val="both"/>
        <w:rPr>
          <w:rFonts w:ascii="Arial" w:hAnsi="Arial" w:cs="Arial"/>
          <w:sz w:val="22"/>
          <w:szCs w:val="22"/>
        </w:rPr>
      </w:pPr>
      <w:r>
        <w:rPr>
          <w:rFonts w:cs="Arial" w:ascii="Arial" w:hAnsi="Arial"/>
          <w:sz w:val="22"/>
          <w:szCs w:val="22"/>
        </w:rPr>
        <w:t>ARTICLE 17 - ASSIGNMENT AND SUCCESSION</w:t>
      </w:r>
    </w:p>
    <w:p>
      <w:pPr>
        <w:pStyle w:val="Normal"/>
        <w:jc w:val="both"/>
        <w:rPr>
          <w:rFonts w:ascii="Arial" w:hAnsi="Arial" w:cs="Arial"/>
          <w:sz w:val="22"/>
          <w:szCs w:val="22"/>
        </w:rPr>
      </w:pPr>
      <w:r>
        <w:rPr>
          <w:rFonts w:cs="Arial" w:ascii="Arial" w:hAnsi="Arial"/>
          <w:sz w:val="22"/>
          <w:szCs w:val="22"/>
        </w:rPr>
      </w:r>
    </w:p>
    <w:p>
      <w:pPr>
        <w:pStyle w:val="Normal"/>
        <w:widowControl w:val="false"/>
        <w:ind w:firstLine="810" w:start="-90" w:end="0"/>
        <w:jc w:val="both"/>
        <w:rPr/>
      </w:pPr>
      <w:r>
        <w:rPr>
          <w:rFonts w:cs="Arial" w:ascii="Arial" w:hAnsi="Arial"/>
          <w:sz w:val="22"/>
          <w:szCs w:val="22"/>
        </w:rPr>
        <w:t>17.1</w:t>
        <w:tab/>
      </w:r>
      <w:r>
        <w:rPr>
          <w:rFonts w:cs="Arial" w:ascii="Arial" w:hAnsi="Arial"/>
          <w:sz w:val="22"/>
          <w:szCs w:val="22"/>
          <w:u w:val="single"/>
        </w:rPr>
        <w:t>Assignment and Succession</w:t>
      </w:r>
      <w:r>
        <w:rPr>
          <w:rFonts w:cs="Arial" w:ascii="Arial" w:hAnsi="Arial"/>
          <w:sz w:val="22"/>
          <w:szCs w:val="22"/>
        </w:rPr>
        <w:t>.  Neither Party shall assign this Agreement or its rights hereunder without the prior written consent of the other Party, which consent shall not be unreasonably withheld or delayed.  Upon any assignment made in compliance with this Section, this Agreement shall inure to and be binding upon the successors and assigns of the assigning Party.  Notwithstanding the foregoing, either Party may, without consent (and without relieving itself from liability hereunder), (a) transfer, pledge, or assign this Agreement as security for any financing with financial institutions; (b) transfer or assign this Agreement to a creditworthy Affiliate of the assigning Party as long as the existing guarantee (or a new guarantee) covers such Affiliate, or (c) transfer or assign this Agreement to any creditworthy person or entity succeeding to all or substantially all of the assets of the assigning Party, if such assignee agrees to be bound by the terms and conditions hereof, and strictly conditioned upon such assignee’s creditworthy parent or controlling Affiliate executing a new guarantee in the form attached hereto.</w:t>
      </w:r>
    </w:p>
    <w:p>
      <w:pPr>
        <w:pStyle w:val="Heading1"/>
        <w:ind w:firstLine="90" w:start="-90" w:end="0"/>
        <w:jc w:val="both"/>
        <w:rPr>
          <w:rFonts w:ascii="Arial" w:hAnsi="Arial" w:cs="Arial"/>
          <w:sz w:val="22"/>
          <w:szCs w:val="22"/>
        </w:rPr>
      </w:pPr>
      <w:r>
        <w:rPr>
          <w:rFonts w:cs="Arial" w:ascii="Arial" w:hAnsi="Arial"/>
          <w:sz w:val="22"/>
          <w:szCs w:val="22"/>
        </w:rPr>
        <w:t>ARTICLE 18 - ARBITRATION CLAUSE</w:t>
      </w:r>
    </w:p>
    <w:p>
      <w:pPr>
        <w:pStyle w:val="Normal"/>
        <w:suppressAutoHyphens w:val="true"/>
        <w:ind w:firstLine="90" w:start="-90" w:end="0"/>
        <w:jc w:val="both"/>
        <w:rPr>
          <w:rFonts w:ascii="Arial" w:hAnsi="Arial" w:cs="Arial"/>
          <w:spacing w:val="-2"/>
          <w:sz w:val="22"/>
          <w:szCs w:val="22"/>
        </w:rPr>
      </w:pPr>
      <w:r>
        <w:rPr>
          <w:rFonts w:cs="Arial" w:ascii="Arial" w:hAnsi="Arial"/>
          <w:spacing w:val="-2"/>
          <w:sz w:val="22"/>
          <w:szCs w:val="22"/>
        </w:rPr>
      </w:r>
    </w:p>
    <w:p>
      <w:pPr>
        <w:pStyle w:val="Normal"/>
        <w:widowControl w:val="false"/>
        <w:ind w:firstLine="810" w:start="-90" w:end="0"/>
        <w:jc w:val="both"/>
        <w:rPr>
          <w:rFonts w:ascii="Arial" w:hAnsi="Arial" w:cs="Arial"/>
          <w:sz w:val="22"/>
          <w:szCs w:val="22"/>
        </w:rPr>
      </w:pPr>
      <w:r>
        <w:rPr>
          <w:rFonts w:cs="Arial" w:ascii="Arial" w:hAnsi="Arial"/>
          <w:spacing w:val="-2"/>
          <w:sz w:val="22"/>
          <w:szCs w:val="22"/>
        </w:rPr>
        <w:t>18.1</w:t>
        <w:tab/>
        <w:t>Any dispute, controversy, or claim arising out of or relating to this Agreement, or the validity, interpretation, enforceability, or breach thereof, which is not settled by Agreement between the parties, shall be settled by arbitration in Houston, Texas, in accordance with the Commercial Arbitration Rules of the American Arbitration Association or any successor organization (“the Association”) then in effect. The decision of the arbitrator(s) shall be final and binding on the parties. A judgment on the award rendered by the arbitrator(s) may be entered in any court having jurisdiction, or application may be made to such court for judicial acceptance of the award and an order of enforcement, as the case may be. The expenses of such arbitration, including the fee, if any, of the arbitrator(s), shall be divided between the parties on an equal basis unless otherwise specified in the arbitrator’s award. Each party shall pay the fees and expenses of its own witnesses and counsel, unless the arbitrator(s) shall specify otherwise in the award.</w:t>
      </w:r>
    </w:p>
    <w:p>
      <w:pPr>
        <w:pStyle w:val="Heading1"/>
        <w:ind w:firstLine="90" w:start="-90" w:end="0"/>
        <w:jc w:val="both"/>
        <w:rPr>
          <w:rFonts w:ascii="Arial" w:hAnsi="Arial" w:cs="Arial"/>
          <w:sz w:val="22"/>
          <w:szCs w:val="22"/>
        </w:rPr>
      </w:pPr>
      <w:r>
        <w:rPr>
          <w:rFonts w:cs="Arial" w:ascii="Arial" w:hAnsi="Arial"/>
          <w:sz w:val="22"/>
          <w:szCs w:val="22"/>
        </w:rPr>
        <w:t>ARTICLE 19 – MISCELLANEOUS</w:t>
      </w:r>
    </w:p>
    <w:p>
      <w:pPr>
        <w:pStyle w:val="Normal"/>
        <w:ind w:firstLine="90" w:start="-90" w:end="0"/>
        <w:jc w:val="both"/>
        <w:rPr>
          <w:rFonts w:ascii="Arial" w:hAnsi="Arial" w:cs="Arial"/>
          <w:sz w:val="22"/>
          <w:szCs w:val="22"/>
        </w:rPr>
      </w:pPr>
      <w:r>
        <w:rPr>
          <w:rFonts w:cs="Arial" w:ascii="Arial" w:hAnsi="Arial"/>
          <w:sz w:val="22"/>
          <w:szCs w:val="22"/>
        </w:rPr>
      </w:r>
    </w:p>
    <w:p>
      <w:pPr>
        <w:pStyle w:val="Normal"/>
        <w:widowControl w:val="false"/>
        <w:ind w:firstLine="810" w:start="-90" w:end="0"/>
        <w:jc w:val="both"/>
        <w:rPr/>
      </w:pPr>
      <w:r>
        <w:rPr>
          <w:rFonts w:cs="Arial" w:ascii="Arial" w:hAnsi="Arial"/>
          <w:sz w:val="22"/>
          <w:szCs w:val="22"/>
        </w:rPr>
        <w:t>19.1</w:t>
        <w:tab/>
      </w:r>
      <w:r>
        <w:rPr>
          <w:rFonts w:cs="Arial" w:ascii="Arial" w:hAnsi="Arial"/>
          <w:sz w:val="22"/>
          <w:szCs w:val="22"/>
          <w:u w:val="single"/>
        </w:rPr>
        <w:t>Regulatory</w:t>
      </w:r>
      <w:r>
        <w:rPr>
          <w:rFonts w:cs="Arial" w:ascii="Arial" w:hAnsi="Arial"/>
          <w:sz w:val="22"/>
          <w:szCs w:val="22"/>
        </w:rPr>
        <w:t>.  This Agreement and performance hereunder is subject to all present and future valid and applicable laws, orders, statutes, and regulations of courts or regulatory bodies (local, state or federal) having jurisdiction over Company, Counterparty, or any Transaction hereunder.</w:t>
      </w:r>
    </w:p>
    <w:p>
      <w:pPr>
        <w:pStyle w:val="Normal"/>
        <w:widowControl w:val="false"/>
        <w:ind w:firstLine="90" w:start="-90" w:end="0"/>
        <w:jc w:val="both"/>
        <w:rPr>
          <w:rFonts w:ascii="Arial" w:hAnsi="Arial" w:cs="Arial"/>
          <w:sz w:val="22"/>
          <w:szCs w:val="22"/>
        </w:rPr>
      </w:pPr>
      <w:r>
        <w:rPr>
          <w:rFonts w:cs="Arial" w:ascii="Arial" w:hAnsi="Arial"/>
          <w:sz w:val="22"/>
          <w:szCs w:val="22"/>
        </w:rPr>
      </w:r>
    </w:p>
    <w:p>
      <w:pPr>
        <w:pStyle w:val="Normal"/>
        <w:widowControl w:val="false"/>
        <w:ind w:firstLine="810" w:start="-90" w:end="0"/>
        <w:jc w:val="both"/>
        <w:rPr/>
      </w:pPr>
      <w:r>
        <w:rPr>
          <w:rFonts w:cs="Arial" w:ascii="Arial" w:hAnsi="Arial"/>
          <w:sz w:val="22"/>
          <w:szCs w:val="22"/>
        </w:rPr>
        <w:t>19.2</w:t>
        <w:tab/>
      </w:r>
      <w:r>
        <w:rPr>
          <w:rFonts w:cs="Arial" w:ascii="Arial" w:hAnsi="Arial"/>
          <w:sz w:val="22"/>
          <w:szCs w:val="22"/>
          <w:u w:val="single"/>
        </w:rPr>
        <w:t>Notices</w:t>
      </w:r>
      <w:r>
        <w:rPr>
          <w:rFonts w:cs="Arial" w:ascii="Arial" w:hAnsi="Arial"/>
          <w:sz w:val="22"/>
          <w:szCs w:val="22"/>
        </w:rPr>
        <w:t>.  Unless otherwise provided, any notice, request, demand, or statement provided for in this Agreement shall be given or confirmed in writing and shall be made as specified below; provided, that notices of interruption may be provided verbally, effective immediately and upon request, confirmed in writing.  Payments hereunder shall be made by wire transfer as specified below.  A notice or Transaction Confirmation sent by facsimile transmission shall be effective only if sent to the facsimile numbers set forth below and shall be deemed received by 4:00 p.m. (CST) on a Business Day on which such notice was transmitted or such earlier time as confirmed by the receiving Party, and notice by overnight mail or courier shall be deemed to have been received two (2) Business Days after it was sent or such earlier time as is confirmed by the receiving Party.  A notice or other communication shall be deemed received on the next Business Day at the Point of Receipt if received at such point on a Day which is not a Business Day or if received after 4:00 p.m. (CST) on a Business Day. The addresses of the Parties are as follows:</w:t>
      </w:r>
    </w:p>
    <w:p>
      <w:pPr>
        <w:pStyle w:val="Normal"/>
        <w:widowControl w:val="false"/>
        <w:jc w:val="both"/>
        <w:rPr>
          <w:rFonts w:ascii="Arial" w:hAnsi="Arial" w:cs="Arial"/>
          <w:sz w:val="22"/>
          <w:szCs w:val="22"/>
          <w:u w:val="single"/>
        </w:rPr>
      </w:pPr>
      <w:r>
        <w:rPr>
          <w:rFonts w:cs="Arial" w:ascii="Arial" w:hAnsi="Arial"/>
          <w:sz w:val="22"/>
          <w:szCs w:val="22"/>
          <w:u w:val="single"/>
        </w:rPr>
      </w:r>
    </w:p>
    <w:p>
      <w:pPr>
        <w:pStyle w:val="Normal"/>
        <w:widowControl w:val="false"/>
        <w:spacing w:lineRule="auto" w:line="360"/>
        <w:jc w:val="both"/>
        <w:rPr/>
      </w:pPr>
      <w:r>
        <w:rPr>
          <w:rFonts w:cs="Arial" w:ascii="Arial" w:hAnsi="Arial"/>
          <w:sz w:val="22"/>
          <w:szCs w:val="22"/>
          <w:u w:val="single"/>
        </w:rPr>
        <w:t>Company</w:t>
      </w:r>
      <w:r>
        <w:rPr>
          <w:rFonts w:cs="Arial" w:ascii="Arial" w:hAnsi="Arial"/>
          <w:sz w:val="22"/>
          <w:szCs w:val="22"/>
        </w:rPr>
        <w:t>:</w:t>
        <w:tab/>
        <w:tab/>
        <w:tab/>
        <w:tab/>
        <w:tab/>
        <w:tab/>
        <w:tab/>
      </w:r>
      <w:r>
        <w:rPr>
          <w:rFonts w:cs="Arial" w:ascii="Arial" w:hAnsi="Arial"/>
          <w:sz w:val="22"/>
          <w:szCs w:val="22"/>
          <w:u w:val="single"/>
        </w:rPr>
        <w:t>Counterparty</w:t>
      </w:r>
      <w:r>
        <w:rPr>
          <w:rFonts w:cs="Arial" w:ascii="Arial" w:hAnsi="Arial"/>
          <w:sz w:val="22"/>
          <w:szCs w:val="22"/>
        </w:rPr>
        <w:t>:</w:t>
      </w:r>
    </w:p>
    <w:p>
      <w:pPr>
        <w:pStyle w:val="Normal"/>
        <w:widowControl w:val="false"/>
        <w:spacing w:lineRule="auto" w:line="360"/>
        <w:jc w:val="both"/>
        <w:rPr>
          <w:rFonts w:ascii="Arial" w:hAnsi="Arial" w:cs="Arial"/>
          <w:sz w:val="22"/>
          <w:szCs w:val="22"/>
          <w:u w:val="single"/>
        </w:rPr>
      </w:pPr>
      <w:r>
        <w:rPr>
          <w:rFonts w:cs="Arial" w:ascii="Arial" w:hAnsi="Arial"/>
          <w:sz w:val="22"/>
          <w:szCs w:val="22"/>
          <w:u w:val="single"/>
        </w:rPr>
        <w:t xml:space="preserve">NOTICES </w:t>
      </w:r>
    </w:p>
    <w:p>
      <w:pPr>
        <w:pStyle w:val="Normal"/>
        <w:widowControl w:val="false"/>
        <w:jc w:val="both"/>
        <w:rPr>
          <w:rFonts w:ascii="Arial" w:hAnsi="Arial" w:cs="Arial"/>
          <w:sz w:val="22"/>
          <w:szCs w:val="22"/>
          <w:u w:val="single"/>
        </w:rPr>
      </w:pPr>
      <w:r>
        <w:rPr>
          <w:rFonts w:cs="Arial" w:ascii="Arial" w:hAnsi="Arial"/>
          <w:sz w:val="22"/>
          <w:szCs w:val="22"/>
          <w:u w:val="single"/>
        </w:rPr>
      </w:r>
    </w:p>
    <w:p>
      <w:pPr>
        <w:pStyle w:val="Normal"/>
        <w:widowControl w:val="false"/>
        <w:jc w:val="both"/>
        <w:rPr>
          <w:rFonts w:ascii="Arial" w:hAnsi="Arial" w:cs="Arial"/>
          <w:color w:val="FF0000"/>
          <w:sz w:val="22"/>
          <w:szCs w:val="22"/>
        </w:rPr>
      </w:pPr>
      <w:r>
        <w:rPr>
          <w:rFonts w:cs="Arial" w:ascii="Arial" w:hAnsi="Arial"/>
          <w:sz w:val="22"/>
          <w:szCs w:val="22"/>
        </w:rPr>
        <w:tab/>
        <w:t xml:space="preserve">El Paso Merchant Energy, L.P.              </w:t>
        <w:tab/>
        <w:tab/>
        <w:t>Company Name</w:t>
      </w:r>
    </w:p>
    <w:p>
      <w:pPr>
        <w:pStyle w:val="Normal"/>
        <w:widowControl w:val="false"/>
        <w:jc w:val="both"/>
        <w:rPr>
          <w:rFonts w:ascii="Arial" w:hAnsi="Arial" w:cs="Arial"/>
          <w:sz w:val="22"/>
          <w:szCs w:val="22"/>
        </w:rPr>
      </w:pPr>
      <w:r>
        <w:rPr>
          <w:rFonts w:cs="Arial" w:ascii="Arial" w:hAnsi="Arial"/>
          <w:sz w:val="22"/>
          <w:szCs w:val="22"/>
        </w:rPr>
        <w:tab/>
        <w:t>Post Office Box 2511</w:t>
        <w:tab/>
      </w:r>
      <w:bookmarkStart w:id="15" w:name="CounterpartyStreetAddress11"/>
      <w:r>
        <w:rPr>
          <w:rFonts w:cs="Arial" w:ascii="Arial" w:hAnsi="Arial"/>
          <w:sz w:val="22"/>
          <w:szCs w:val="22"/>
        </w:rPr>
        <w:tab/>
        <w:tab/>
        <w:tab/>
        <w:tab/>
        <w:t>Company Address</w:t>
      </w:r>
    </w:p>
    <w:p>
      <w:pPr>
        <w:pStyle w:val="Normal"/>
        <w:widowControl w:val="false"/>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Houston, TX 77252-2511</w:t>
      </w:r>
    </w:p>
    <w:p>
      <w:pPr>
        <w:pStyle w:val="Normal"/>
        <w:widowControl w:val="false"/>
        <w:jc w:val="both"/>
        <w:rPr>
          <w:rFonts w:ascii="Arial" w:hAnsi="Arial" w:cs="Arial"/>
          <w:color w:val="FF0000"/>
          <w:sz w:val="22"/>
          <w:szCs w:val="22"/>
        </w:rPr>
      </w:pPr>
      <w:r>
        <w:rPr>
          <w:rFonts w:cs="Arial" w:ascii="Arial" w:hAnsi="Arial"/>
          <w:sz w:val="22"/>
          <w:szCs w:val="22"/>
        </w:rPr>
        <w:tab/>
        <w:t xml:space="preserve">1001 Louisiana Street                                                           </w:t>
      </w:r>
      <w:bookmarkEnd w:id="15"/>
    </w:p>
    <w:p>
      <w:pPr>
        <w:pStyle w:val="Normal"/>
        <w:widowControl w:val="false"/>
        <w:jc w:val="both"/>
        <w:rPr>
          <w:rFonts w:ascii="Arial" w:hAnsi="Arial" w:cs="Arial"/>
          <w:color w:val="FF0000"/>
          <w:sz w:val="22"/>
          <w:szCs w:val="22"/>
        </w:rPr>
      </w:pPr>
      <w:r>
        <w:rPr>
          <w:rFonts w:cs="Arial" w:ascii="Arial" w:hAnsi="Arial"/>
          <w:sz w:val="22"/>
          <w:szCs w:val="22"/>
        </w:rPr>
        <w:tab/>
        <w:t>Houston, Texas  77252-2511</w:t>
      </w:r>
    </w:p>
    <w:p>
      <w:pPr>
        <w:pStyle w:val="Normal"/>
        <w:widowControl w:val="false"/>
        <w:jc w:val="both"/>
        <w:rPr>
          <w:rFonts w:ascii="Arial" w:hAnsi="Arial" w:cs="Arial"/>
          <w:sz w:val="22"/>
          <w:szCs w:val="22"/>
        </w:rPr>
      </w:pPr>
      <w:r>
        <w:rPr>
          <w:rFonts w:cs="Arial" w:ascii="Arial" w:hAnsi="Arial"/>
          <w:sz w:val="22"/>
          <w:szCs w:val="22"/>
        </w:rPr>
        <w:tab/>
        <w:t xml:space="preserve">Attention: </w:t>
        <w:tab/>
        <w:t>Contract Services</w:t>
        <w:tab/>
        <w:tab/>
        <w:tab/>
        <w:t>Attention:</w:t>
        <w:tab/>
        <w:tab/>
        <w:t xml:space="preserve"> </w:t>
        <w:tab/>
        <w:tab/>
      </w:r>
    </w:p>
    <w:p>
      <w:pPr>
        <w:pStyle w:val="Normal"/>
        <w:widowControl w:val="false"/>
        <w:jc w:val="both"/>
        <w:rPr>
          <w:rFonts w:ascii="Arial" w:hAnsi="Arial" w:cs="Arial"/>
          <w:sz w:val="22"/>
          <w:szCs w:val="22"/>
        </w:rPr>
      </w:pPr>
      <w:r>
        <w:rPr>
          <w:rFonts w:cs="Arial" w:ascii="Arial" w:hAnsi="Arial"/>
          <w:sz w:val="22"/>
          <w:szCs w:val="22"/>
        </w:rPr>
        <w:tab/>
        <w:t>Phone:</w:t>
        <w:tab/>
        <w:tab/>
        <w:t>(713) 420-5000</w:t>
        <w:tab/>
        <w:tab/>
        <w:tab/>
        <w:t xml:space="preserve">Phone:          </w:t>
      </w:r>
    </w:p>
    <w:p>
      <w:pPr>
        <w:pStyle w:val="Normal"/>
        <w:widowControl w:val="false"/>
        <w:jc w:val="both"/>
        <w:rPr>
          <w:rFonts w:ascii="Arial" w:hAnsi="Arial" w:cs="Arial"/>
          <w:sz w:val="22"/>
          <w:szCs w:val="22"/>
        </w:rPr>
      </w:pPr>
      <w:r>
        <w:rPr>
          <w:rFonts w:cs="Arial" w:ascii="Arial" w:hAnsi="Arial"/>
          <w:sz w:val="22"/>
          <w:szCs w:val="22"/>
        </w:rPr>
        <w:tab/>
        <w:t>Fax for notices:</w:t>
        <w:tab/>
        <w:t>(713) 420-7577</w:t>
        <w:tab/>
        <w:tab/>
        <w:t>Facsimile:</w:t>
      </w:r>
    </w:p>
    <w:p>
      <w:pPr>
        <w:pStyle w:val="Normal"/>
        <w:widowControl w:val="false"/>
        <w:jc w:val="both"/>
        <w:rPr>
          <w:rFonts w:ascii="Arial" w:hAnsi="Arial" w:cs="Arial"/>
          <w:sz w:val="22"/>
          <w:szCs w:val="22"/>
        </w:rPr>
      </w:pPr>
      <w:r>
        <w:rPr>
          <w:rFonts w:cs="Arial" w:ascii="Arial" w:hAnsi="Arial"/>
          <w:sz w:val="22"/>
          <w:szCs w:val="22"/>
        </w:rPr>
        <w:tab/>
        <w:t>Fax for confirmations:</w:t>
        <w:tab/>
        <w:t>(713) 420-1956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rFonts w:ascii="Arial" w:hAnsi="Arial" w:cs="Arial"/>
          <w:sz w:val="22"/>
          <w:szCs w:val="22"/>
          <w:u w:val="single"/>
        </w:rPr>
      </w:pPr>
      <w:r>
        <w:rPr>
          <w:rFonts w:cs="Arial" w:ascii="Arial" w:hAnsi="Arial"/>
          <w:sz w:val="22"/>
          <w:szCs w:val="22"/>
          <w:u w:val="single"/>
        </w:rPr>
        <w:t>PAYMENTS BY WIRE TRANSFER</w:t>
      </w:r>
    </w:p>
    <w:p>
      <w:pPr>
        <w:pStyle w:val="Normal"/>
        <w:widowControl w:val="false"/>
        <w:jc w:val="both"/>
        <w:rPr>
          <w:rFonts w:ascii="Arial" w:hAnsi="Arial" w:cs="Arial"/>
          <w:sz w:val="22"/>
          <w:szCs w:val="22"/>
        </w:rPr>
      </w:pPr>
      <w:r>
        <w:rPr>
          <w:rFonts w:cs="Arial" w:ascii="Arial" w:hAnsi="Arial"/>
          <w:sz w:val="22"/>
          <w:szCs w:val="22"/>
        </w:rPr>
        <w:tab/>
        <w:t>El Paso Merchant Energy, L.P.</w:t>
        <w:tab/>
        <w:tab/>
      </w:r>
      <w:bookmarkStart w:id="16" w:name="CounterpartyName4"/>
      <w:r>
        <w:rPr>
          <w:rFonts w:cs="Arial" w:ascii="Arial" w:hAnsi="Arial"/>
          <w:sz w:val="22"/>
          <w:szCs w:val="22"/>
        </w:rPr>
        <w:tab/>
        <w:t>Company Name</w:t>
      </w:r>
      <w:bookmarkEnd w:id="16"/>
    </w:p>
    <w:p>
      <w:pPr>
        <w:pStyle w:val="Normal"/>
        <w:widowControl w:val="false"/>
        <w:jc w:val="both"/>
        <w:rPr>
          <w:rFonts w:ascii="Arial" w:hAnsi="Arial" w:cs="Arial"/>
          <w:sz w:val="22"/>
          <w:szCs w:val="22"/>
        </w:rPr>
      </w:pPr>
      <w:r>
        <w:rPr>
          <w:rFonts w:cs="Arial" w:ascii="Arial" w:hAnsi="Arial"/>
          <w:sz w:val="22"/>
          <w:szCs w:val="22"/>
        </w:rPr>
        <w:tab/>
        <w:t>c/o Mellon Bank</w:t>
        <w:tab/>
        <w:tab/>
        <w:tab/>
        <w:tab/>
        <w:tab/>
        <w:t>c/o</w:t>
      </w:r>
    </w:p>
    <w:p>
      <w:pPr>
        <w:pStyle w:val="Normal"/>
        <w:widowControl w:val="false"/>
        <w:jc w:val="both"/>
        <w:rPr>
          <w:rFonts w:ascii="Arial" w:hAnsi="Arial" w:cs="Arial"/>
          <w:sz w:val="22"/>
          <w:szCs w:val="22"/>
        </w:rPr>
      </w:pPr>
      <w:r>
        <w:rPr>
          <w:rFonts w:cs="Arial" w:ascii="Arial" w:hAnsi="Arial"/>
          <w:sz w:val="22"/>
          <w:szCs w:val="22"/>
        </w:rPr>
        <w:tab/>
        <w:t>Pittsburgh, Pennsylvania</w:t>
        <w:tab/>
        <w:tab/>
        <w:tab/>
        <w:tab/>
        <w:t>Address</w:t>
      </w:r>
    </w:p>
    <w:p>
      <w:pPr>
        <w:pStyle w:val="Normal"/>
        <w:widowControl w:val="false"/>
        <w:jc w:val="both"/>
        <w:rPr>
          <w:rFonts w:ascii="Arial" w:hAnsi="Arial" w:cs="Arial"/>
          <w:sz w:val="22"/>
          <w:szCs w:val="22"/>
        </w:rPr>
      </w:pPr>
      <w:r>
        <w:rPr>
          <w:rFonts w:cs="Arial" w:ascii="Arial" w:hAnsi="Arial"/>
          <w:sz w:val="22"/>
          <w:szCs w:val="22"/>
        </w:rPr>
        <w:tab/>
        <w:t>Account No:  020-9517</w:t>
        <w:tab/>
        <w:tab/>
        <w:tab/>
        <w:tab/>
        <w:t>Account No:</w:t>
      </w:r>
    </w:p>
    <w:p>
      <w:pPr>
        <w:pStyle w:val="Normal"/>
        <w:widowControl w:val="false"/>
        <w:jc w:val="both"/>
        <w:rPr>
          <w:rFonts w:ascii="Arial" w:hAnsi="Arial" w:cs="Arial"/>
          <w:sz w:val="22"/>
          <w:szCs w:val="22"/>
        </w:rPr>
      </w:pPr>
      <w:r>
        <w:rPr>
          <w:rFonts w:cs="Arial" w:ascii="Arial" w:hAnsi="Arial"/>
          <w:sz w:val="22"/>
          <w:szCs w:val="22"/>
        </w:rPr>
        <w:tab/>
        <w:t>ABA No.: 043000261</w:t>
      </w:r>
    </w:p>
    <w:p>
      <w:pPr>
        <w:pStyle w:val="Normal"/>
        <w:widowControl w:val="false"/>
        <w:jc w:val="both"/>
        <w:rPr>
          <w:rFonts w:ascii="Arial" w:hAnsi="Arial" w:cs="Arial"/>
          <w:sz w:val="22"/>
          <w:szCs w:val="22"/>
        </w:rPr>
      </w:pPr>
      <w:r>
        <w:rPr>
          <w:rFonts w:cs="Arial" w:ascii="Arial" w:hAnsi="Arial"/>
          <w:sz w:val="22"/>
          <w:szCs w:val="22"/>
        </w:rPr>
        <w:tab/>
        <w:t>Verification Phone:  (713) 420-3984</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rFonts w:ascii="Arial" w:hAnsi="Arial" w:cs="Arial"/>
          <w:sz w:val="22"/>
          <w:szCs w:val="22"/>
          <w:u w:val="single"/>
        </w:rPr>
      </w:pPr>
      <w:r>
        <w:rPr>
          <w:rFonts w:cs="Arial" w:ascii="Arial" w:hAnsi="Arial"/>
          <w:sz w:val="22"/>
          <w:szCs w:val="22"/>
          <w:u w:val="single"/>
        </w:rPr>
        <w:t>INVOICES</w:t>
      </w:r>
    </w:p>
    <w:p>
      <w:pPr>
        <w:pStyle w:val="Normal"/>
        <w:widowControl w:val="false"/>
        <w:jc w:val="both"/>
        <w:rPr>
          <w:rFonts w:ascii="Arial" w:hAnsi="Arial" w:cs="Arial"/>
          <w:color w:val="FF0000"/>
          <w:sz w:val="22"/>
          <w:szCs w:val="22"/>
        </w:rPr>
      </w:pPr>
      <w:r>
        <w:rPr>
          <w:rFonts w:cs="Arial" w:ascii="Arial" w:hAnsi="Arial"/>
          <w:sz w:val="22"/>
          <w:szCs w:val="22"/>
        </w:rPr>
        <w:tab/>
        <w:t>El Paso Merchant Energy, L.P.</w:t>
        <w:tab/>
        <w:t xml:space="preserve"> </w:t>
        <w:tab/>
        <w:tab/>
        <w:t>C/P company name</w:t>
      </w:r>
    </w:p>
    <w:p>
      <w:pPr>
        <w:pStyle w:val="Normal"/>
        <w:widowControl w:val="false"/>
        <w:jc w:val="both"/>
        <w:rPr/>
      </w:pPr>
      <w:r>
        <w:rPr>
          <w:rFonts w:cs="Arial" w:ascii="Arial" w:hAnsi="Arial"/>
          <w:sz w:val="22"/>
          <w:szCs w:val="22"/>
        </w:rPr>
        <w:tab/>
        <w:t>Post Office Box 2511</w:t>
        <w:tab/>
        <w:tab/>
        <w:tab/>
        <w:tab/>
        <w:tab/>
      </w:r>
      <w:r>
        <w:rPr>
          <w:rFonts w:cs="Arial" w:ascii="Arial" w:hAnsi="Arial"/>
          <w:color w:val="000000"/>
          <w:sz w:val="22"/>
          <w:szCs w:val="22"/>
        </w:rPr>
        <w:t>Address</w:t>
      </w:r>
    </w:p>
    <w:p>
      <w:pPr>
        <w:pStyle w:val="Normal"/>
        <w:widowControl w:val="false"/>
        <w:jc w:val="both"/>
        <w:rPr/>
      </w:pPr>
      <w:r>
        <w:rPr>
          <w:rFonts w:cs="Arial" w:ascii="Arial" w:hAnsi="Arial"/>
          <w:sz w:val="22"/>
          <w:szCs w:val="22"/>
        </w:rPr>
        <w:tab/>
        <w:t>Houston, Texas  77252-2511</w:t>
        <w:tab/>
      </w:r>
      <w:r>
        <w:rPr>
          <w:rFonts w:cs="Arial" w:ascii="Arial" w:hAnsi="Arial"/>
          <w:color w:val="FF0000"/>
          <w:sz w:val="22"/>
          <w:szCs w:val="22"/>
        </w:rPr>
        <w:t xml:space="preserve"> </w:t>
      </w:r>
    </w:p>
    <w:p>
      <w:pPr>
        <w:pStyle w:val="Normal"/>
        <w:widowControl w:val="false"/>
        <w:jc w:val="both"/>
        <w:rPr>
          <w:rFonts w:ascii="Arial" w:hAnsi="Arial" w:cs="Arial"/>
          <w:color w:val="FF0000"/>
          <w:sz w:val="22"/>
          <w:szCs w:val="22"/>
        </w:rPr>
      </w:pPr>
      <w:r>
        <w:rPr>
          <w:rFonts w:cs="Arial" w:ascii="Arial" w:hAnsi="Arial"/>
          <w:sz w:val="22"/>
          <w:szCs w:val="22"/>
        </w:rPr>
        <w:tab/>
        <w:t>Attention:</w:t>
        <w:tab/>
        <w:t>Gas Accounting</w:t>
        <w:tab/>
        <w:t xml:space="preserve"> </w:t>
        <w:tab/>
        <w:tab/>
        <w:t xml:space="preserve">Attention:  </w:t>
      </w:r>
    </w:p>
    <w:p>
      <w:pPr>
        <w:pStyle w:val="Normal"/>
        <w:widowControl w:val="false"/>
        <w:ind w:firstLine="720" w:end="0"/>
        <w:jc w:val="both"/>
        <w:rPr/>
      </w:pPr>
      <w:r>
        <w:rPr>
          <w:rFonts w:cs="Arial" w:ascii="Arial" w:hAnsi="Arial"/>
          <w:sz w:val="22"/>
          <w:szCs w:val="22"/>
        </w:rPr>
        <w:t>Phone:</w:t>
        <w:tab/>
        <w:tab/>
        <w:t>(713) 420-5000</w:t>
        <w:tab/>
        <w:tab/>
        <w:tab/>
      </w:r>
      <w:r>
        <w:rPr>
          <w:rFonts w:cs="Arial" w:ascii="Arial" w:hAnsi="Arial"/>
          <w:color w:val="000000"/>
          <w:sz w:val="22"/>
          <w:szCs w:val="22"/>
        </w:rPr>
        <w:t xml:space="preserve">Phone:  </w:t>
      </w:r>
    </w:p>
    <w:p>
      <w:pPr>
        <w:pStyle w:val="Normal"/>
        <w:widowControl w:val="false"/>
        <w:jc w:val="both"/>
        <w:rPr/>
      </w:pPr>
      <w:r>
        <w:rPr>
          <w:rFonts w:cs="Arial" w:ascii="Arial" w:hAnsi="Arial"/>
          <w:color w:val="FF0000"/>
          <w:sz w:val="22"/>
          <w:szCs w:val="22"/>
        </w:rPr>
        <w:tab/>
      </w:r>
      <w:r>
        <w:rPr>
          <w:rFonts w:cs="Arial" w:ascii="Arial" w:hAnsi="Arial"/>
          <w:color w:val="000000"/>
          <w:sz w:val="22"/>
          <w:szCs w:val="22"/>
        </w:rPr>
        <w:t>Facsimile:</w:t>
      </w:r>
      <w:r>
        <w:rPr>
          <w:rFonts w:cs="Arial" w:ascii="Arial" w:hAnsi="Arial"/>
          <w:sz w:val="22"/>
          <w:szCs w:val="22"/>
        </w:rPr>
        <w:tab/>
        <w:t>(713) 420-2108</w:t>
        <w:tab/>
        <w:tab/>
        <w:tab/>
        <w:t>Facsimile:</w:t>
      </w:r>
    </w:p>
    <w:p>
      <w:pPr>
        <w:pStyle w:val="Normal"/>
        <w:widowControl w:val="false"/>
        <w:jc w:val="both"/>
        <w:rPr>
          <w:rFonts w:ascii="Arial" w:hAnsi="Arial" w:cs="Arial"/>
          <w:color w:val="FF0000"/>
          <w:sz w:val="22"/>
          <w:szCs w:val="22"/>
        </w:rPr>
      </w:pPr>
      <w:r>
        <w:rPr>
          <w:rFonts w:cs="Arial" w:ascii="Arial" w:hAnsi="Arial"/>
          <w:color w:val="FF0000"/>
          <w:sz w:val="22"/>
          <w:szCs w:val="22"/>
        </w:rPr>
        <w:tab/>
      </w:r>
      <w:bookmarkStart w:id="17" w:name="CounterpartyAccountingFaxNumber1"/>
      <w:r>
        <w:rPr>
          <w:rFonts w:cs="Arial" w:ascii="Arial" w:hAnsi="Arial"/>
          <w:sz w:val="22"/>
          <w:szCs w:val="22"/>
        </w:rPr>
        <w:tab/>
      </w:r>
      <w:bookmarkEnd w:id="17"/>
    </w:p>
    <w:p>
      <w:pPr>
        <w:pStyle w:val="BodyText"/>
        <w:widowControl w:val="false"/>
        <w:ind w:hanging="720" w:start="720" w:end="0"/>
        <w:rPr>
          <w:rFonts w:ascii="Arial" w:hAnsi="Arial" w:cs="Arial"/>
        </w:rPr>
      </w:pPr>
      <w:r>
        <w:rPr>
          <w:rFonts w:cs="Arial" w:ascii="Arial" w:hAnsi="Arial"/>
        </w:rPr>
        <w:tab/>
        <w:t>or such other addresses as Counterparty or Company shall from time to time designate by notice properly given pursuant to this Section.</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19.3</w:t>
        <w:tab/>
      </w:r>
      <w:r>
        <w:fldChar w:fldCharType="begin"/>
      </w:r>
      <w:r>
        <w:rPr/>
        <w:instrText xml:space="preserve"> TC "11.3</w:instrText>
        <w:tab/>
        <w:instrText xml:space="preserve">Two Years to Present Claims" \l 2 </w:instrText>
      </w:r>
      <w:r>
        <w:rPr/>
        <w:fldChar w:fldCharType="separate"/>
      </w:r>
      <w:r>
        <w:rPr/>
      </w:r>
      <w:r>
        <w:rPr/>
        <w:fldChar w:fldCharType="end"/>
      </w:r>
      <w:r>
        <w:rPr>
          <w:rFonts w:cs="Arial" w:ascii="Arial" w:hAnsi="Arial"/>
          <w:sz w:val="22"/>
          <w:szCs w:val="22"/>
          <w:u w:val="single"/>
        </w:rPr>
        <w:t>Two Years to Present Claims</w:t>
      </w:r>
      <w:r>
        <w:rPr>
          <w:rFonts w:cs="Arial" w:ascii="Arial" w:hAnsi="Arial"/>
          <w:sz w:val="22"/>
          <w:szCs w:val="22"/>
        </w:rPr>
        <w:t>. Neither Party shall be liable for any damages for any breach of this Agreement or of any Transaction, unless a claim is presented in writing to the other Party within two years after the alleged damages occurred. This Section does not apply to any claim subject to Section 13.5 above.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19.4</w:t>
        <w:tab/>
      </w:r>
      <w:r>
        <w:rPr>
          <w:rFonts w:cs="Arial" w:ascii="Arial" w:hAnsi="Arial"/>
          <w:sz w:val="22"/>
          <w:szCs w:val="22"/>
          <w:u w:val="single"/>
        </w:rPr>
        <w:t>Entirety</w:t>
      </w:r>
      <w:r>
        <w:rPr>
          <w:rFonts w:cs="Arial" w:ascii="Arial" w:hAnsi="Arial"/>
          <w:sz w:val="22"/>
          <w:szCs w:val="22"/>
        </w:rPr>
        <w:t>.  This Agreement contains the final expression of the Agreement between Buyer and Seller with respect to the subject matter hereof, and it is the complete and exclusive statement of the terms of Agreement between Buyer and Seller with respect to the subject matter hereof. No oral understandings, statements, promises or inducements contrary to the terms of this Agreement exist. It is the intent of the Parties, and they hereby agree, that this Agreement and all Transactions in effect at any time shall form a single contract.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19.5</w:t>
        <w:tab/>
      </w:r>
      <w:r>
        <w:rPr>
          <w:rFonts w:cs="Arial" w:ascii="Arial" w:hAnsi="Arial"/>
          <w:sz w:val="22"/>
          <w:szCs w:val="22"/>
          <w:u w:val="single"/>
        </w:rPr>
        <w:t>GOVERNING LAW</w:t>
      </w:r>
      <w:r>
        <w:rPr>
          <w:rFonts w:cs="Arial" w:ascii="Arial" w:hAnsi="Arial"/>
          <w:sz w:val="22"/>
          <w:szCs w:val="22"/>
        </w:rPr>
        <w:t xml:space="preserve">.  THIS AGREEMENT SHALL BE GOVERNED BY AND CONSTRUED IN ACCORDANCE WITH THE SUBSTANTIVE LAWS OF TEXAS, WITHOUT REGARD TO THE LAWS OF TEXAS REQUIRING THE APPLICATION OF THE LAWS OF ANOTHER JURISDICTION.  EACH PARTY SUBMITS TO THE JURISDICTION OF THE FEDERAL AND STATE COURTS LOCATED IN HARRIS COUNTY, TEXAS.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19.6</w:t>
        <w:tab/>
      </w:r>
      <w:r>
        <w:rPr>
          <w:rFonts w:cs="Arial" w:ascii="Arial" w:hAnsi="Arial"/>
          <w:sz w:val="22"/>
          <w:szCs w:val="22"/>
          <w:u w:val="single"/>
        </w:rPr>
        <w:t>Non</w:t>
        <w:noBreakHyphen/>
        <w:t>Waiver</w:t>
      </w:r>
      <w:r>
        <w:rPr>
          <w:rFonts w:cs="Arial" w:ascii="Arial" w:hAnsi="Arial"/>
          <w:sz w:val="22"/>
          <w:szCs w:val="22"/>
        </w:rPr>
        <w:t>.  No waiver by either Party hereto of any one or more defaults by the other in the performance of any of the provisions of this Agreement shall be construed as a waiver of any other default or defaults whether of a like kind or different nature.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19.7</w:t>
        <w:tab/>
      </w:r>
      <w:r>
        <w:rPr>
          <w:rFonts w:cs="Arial" w:ascii="Arial" w:hAnsi="Arial"/>
          <w:sz w:val="22"/>
          <w:szCs w:val="22"/>
          <w:u w:val="single"/>
        </w:rPr>
        <w:t>Severability</w:t>
      </w:r>
      <w:r>
        <w:rPr>
          <w:rFonts w:cs="Arial" w:ascii="Arial" w:hAnsi="Arial"/>
          <w:sz w:val="22"/>
          <w:szCs w:val="22"/>
        </w:rPr>
        <w:t>.  Except as otherwise stated herein, any provision, article or section of this Agreement declared or rendered unlawful by a court of law or regulatory agency with jurisdiction over the Parties, or deemed unlawful because of statutory change, will not otherwise affect the lawful obligations that arise under this Agreement.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19.8</w:t>
        <w:tab/>
      </w:r>
      <w:r>
        <w:rPr>
          <w:rFonts w:cs="Arial" w:ascii="Arial" w:hAnsi="Arial"/>
          <w:sz w:val="22"/>
          <w:szCs w:val="22"/>
          <w:u w:val="single"/>
        </w:rPr>
        <w:t>Headings</w:t>
      </w:r>
      <w:r>
        <w:rPr>
          <w:rFonts w:cs="Arial" w:ascii="Arial" w:hAnsi="Arial"/>
          <w:sz w:val="22"/>
          <w:szCs w:val="22"/>
        </w:rPr>
        <w:t>.  The headings used for the Articles and Sections herein are for convenience and reference purposes only and shall in no way affect the meaning or interpretation of the provisions of this Agreement.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19.9</w:t>
        <w:tab/>
      </w:r>
      <w:r>
        <w:rPr>
          <w:rFonts w:cs="Arial" w:ascii="Arial" w:hAnsi="Arial"/>
          <w:sz w:val="22"/>
          <w:szCs w:val="22"/>
          <w:u w:val="single"/>
        </w:rPr>
        <w:t>Reservations</w:t>
      </w:r>
      <w:r>
        <w:rPr>
          <w:rFonts w:cs="Arial" w:ascii="Arial" w:hAnsi="Arial"/>
          <w:sz w:val="22"/>
          <w:szCs w:val="22"/>
        </w:rPr>
        <w:t>.  Each Party reserves to itself all rights, netting, counterclaims and other remedies or defenses to which it is or may be entitled, arising out of this Agreement.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19.10</w:t>
        <w:tab/>
      </w:r>
      <w:r>
        <w:rPr>
          <w:rFonts w:cs="Arial" w:ascii="Arial" w:hAnsi="Arial"/>
          <w:sz w:val="22"/>
          <w:szCs w:val="22"/>
          <w:u w:val="single"/>
        </w:rPr>
        <w:t>Forward Contract.</w:t>
      </w:r>
      <w:r>
        <w:rPr>
          <w:rFonts w:cs="Arial" w:ascii="Arial" w:hAnsi="Arial"/>
          <w:sz w:val="22"/>
          <w:szCs w:val="22"/>
        </w:rPr>
        <w:t xml:space="preserve">  This Agreement and all Transactions under this Agreement constitute a “forward contract”, and the Parties are “forward contract merchants”, under and in all proceedings related to the United States Bankruptcy Code, as the same may be amended, and under and in all proceedings related to bankruptcy or insolvency or similar law (regardless of jurisdiction).</w:t>
      </w:r>
    </w:p>
    <w:p>
      <w:pPr>
        <w:pStyle w:val="Normal"/>
        <w:widowControl w:val="false"/>
        <w:ind w:start="720" w:end="0"/>
        <w:jc w:val="both"/>
        <w:rPr>
          <w:rFonts w:ascii="Arial" w:hAnsi="Arial" w:cs="Arial"/>
          <w:sz w:val="22"/>
          <w:szCs w:val="22"/>
        </w:rPr>
      </w:pPr>
      <w:r>
        <w:rPr>
          <w:rFonts w:cs="Arial" w:ascii="Arial" w:hAnsi="Arial"/>
          <w:sz w:val="22"/>
          <w:szCs w:val="22"/>
        </w:rPr>
      </w:r>
    </w:p>
    <w:p>
      <w:pPr>
        <w:pStyle w:val="Normal"/>
        <w:widowControl w:val="false"/>
        <w:ind w:firstLine="720" w:end="0"/>
        <w:jc w:val="both"/>
        <w:rPr/>
      </w:pPr>
      <w:r>
        <w:rPr>
          <w:rFonts w:cs="Arial" w:ascii="Arial" w:hAnsi="Arial"/>
          <w:sz w:val="22"/>
          <w:szCs w:val="22"/>
        </w:rPr>
        <w:t>19.11</w:t>
        <w:tab/>
      </w:r>
      <w:r>
        <w:rPr>
          <w:rFonts w:cs="Arial" w:ascii="Arial" w:hAnsi="Arial"/>
          <w:sz w:val="22"/>
          <w:szCs w:val="22"/>
          <w:u w:val="single"/>
        </w:rPr>
        <w:t>Confidentiality</w:t>
      </w:r>
      <w:r>
        <w:rPr>
          <w:rFonts w:cs="Arial" w:ascii="Arial" w:hAnsi="Arial"/>
          <w:sz w:val="22"/>
          <w:szCs w:val="22"/>
        </w:rPr>
        <w:t>.  Neither Party shall disclose the terms of any Transaction to a third Party (other than such Party's and its Affiliates' employees, lenders, counsel or accountants) except to comply with any applicable law, order, or regulatory or exchange rule; provided each Party shall notify the other Party of any proceeding of which it is aware that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to actual direct damages and a breach of this Section shall not give rise to a right to suspend or terminate any ongoing Transaction.</w:t>
      </w:r>
    </w:p>
    <w:p>
      <w:pPr>
        <w:pStyle w:val="Normal"/>
        <w:widowControl w:val="false"/>
        <w:jc w:val="both"/>
        <w:rPr>
          <w:rFonts w:ascii="Arial" w:hAnsi="Arial" w:cs="Arial"/>
          <w:sz w:val="22"/>
          <w:szCs w:val="22"/>
        </w:rPr>
      </w:pPr>
      <w:r>
        <w:rPr>
          <w:rFonts w:cs="Arial" w:ascii="Arial" w:hAnsi="Arial"/>
          <w:sz w:val="22"/>
          <w:szCs w:val="22"/>
        </w:rPr>
      </w:r>
    </w:p>
    <w:p>
      <w:pPr>
        <w:pStyle w:val="Normal"/>
        <w:ind w:firstLine="720" w:end="0"/>
        <w:jc w:val="both"/>
        <w:rPr/>
      </w:pPr>
      <w:r>
        <w:rPr>
          <w:rFonts w:cs="Arial" w:ascii="Arial" w:hAnsi="Arial"/>
          <w:sz w:val="22"/>
          <w:szCs w:val="22"/>
        </w:rPr>
        <w:t>19.12</w:t>
        <w:tab/>
      </w:r>
      <w:r>
        <w:rPr>
          <w:rFonts w:cs="Arial" w:ascii="Arial" w:hAnsi="Arial"/>
          <w:sz w:val="22"/>
          <w:szCs w:val="22"/>
          <w:u w:val="single"/>
        </w:rPr>
        <w:t>Representations</w:t>
      </w:r>
      <w:r>
        <w:rPr>
          <w:rFonts w:cs="Arial" w:ascii="Arial" w:hAnsi="Arial"/>
          <w:sz w:val="22"/>
          <w:szCs w:val="22"/>
        </w:rPr>
        <w:t>.   In connection with the negotiation of, the entering into, and the confirming of the execution of this Agreement and each Transaction, each Party represents that: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or any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(vii) it is entering into this Agreement with a full understanding of all of the risks hereof and thereof (economic and otherwise), and (viii) it is not bankrupt, it does not qualify as being in Bankruptcy as defined herein, and there are no Bankruptcy proceedings pending or being contemplated by it or, to its knowledge, threatened against it.</w:t>
      </w:r>
    </w:p>
    <w:p>
      <w:pPr>
        <w:pStyle w:val="Normal"/>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jc w:val="both"/>
        <w:rPr/>
      </w:pPr>
      <w:r>
        <w:rPr>
          <w:rFonts w:cs="Arial" w:ascii="Arial" w:hAnsi="Arial"/>
          <w:sz w:val="22"/>
          <w:szCs w:val="22"/>
        </w:rPr>
        <w:t>19.13</w:t>
        <w:tab/>
      </w:r>
      <w:r>
        <w:fldChar w:fldCharType="begin"/>
      </w:r>
      <w:r>
        <w:rPr/>
        <w:instrText xml:space="preserve"> TC "11.11</w:instrText>
        <w:tab/>
        <w:instrText xml:space="preserve">Government Contracting" \l 2 </w:instrText>
      </w:r>
      <w:r>
        <w:rPr/>
        <w:fldChar w:fldCharType="separate"/>
      </w:r>
      <w:r>
        <w:rPr/>
      </w:r>
      <w:r>
        <w:rPr/>
        <w:fldChar w:fldCharType="end"/>
      </w:r>
      <w:r>
        <w:rPr>
          <w:rFonts w:cs="Arial" w:ascii="Arial" w:hAnsi="Arial"/>
          <w:sz w:val="22"/>
          <w:szCs w:val="22"/>
          <w:u w:val="single"/>
        </w:rPr>
        <w:t>Government Contracting</w:t>
      </w:r>
      <w:r>
        <w:rPr>
          <w:rFonts w:cs="Arial" w:ascii="Arial" w:hAnsi="Arial"/>
          <w:sz w:val="22"/>
          <w:szCs w:val="22"/>
        </w:rPr>
        <w:t xml:space="preserve">. </w:t>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(a)</w:t>
        <w:tab/>
        <w:t>Each Party agrees to comply with the following clauses, to the extent that such Clauses apply to it in accordance with their terms and as such Clauses may from time to time hereafter be amended, revised, or terminated: (i) The Equal Opportunity Clause, 41 CFR 60-1.4(a); (ii) The Handicapped Workers Clause, 41 CFR 60-741.4; (iii) The Disabled Veterans and Veterans of the Vietnam Era Clause, 41 CFR 60-250.4.</w:t>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r>
    </w:p>
    <w:p>
      <w:pPr>
        <w:pStyle w:val="STANDARD"/>
        <w:tabs>
          <w:tab w:val="clear" w:pos="720"/>
          <w:tab w:val="clear" w:pos="1440"/>
          <w:tab w:val="clear" w:pos="2160"/>
          <w:tab w:val="clear" w:pos="2880"/>
          <w:tab w:val="clear" w:pos="3600"/>
          <w:tab w:val="clear" w:pos="4320"/>
          <w:tab w:val="clear" w:pos="5040"/>
        </w:tabs>
        <w:spacing w:lineRule="auto" w:line="240" w:before="0" w:after="0"/>
        <w:ind w:start="720" w:end="0"/>
        <w:jc w:val="both"/>
        <w:rPr>
          <w:rFonts w:ascii="Arial" w:hAnsi="Arial" w:cs="Arial"/>
          <w:sz w:val="22"/>
          <w:szCs w:val="22"/>
        </w:rPr>
      </w:pPr>
      <w:r>
        <w:rPr>
          <w:rFonts w:cs="Arial" w:ascii="Arial" w:hAnsi="Arial"/>
          <w:sz w:val="22"/>
          <w:szCs w:val="22"/>
        </w:rPr>
        <w:t>(b)</w:t>
        <w:tab/>
        <w:t>Each Party also agrees to such other clauses or provisions respecting government contractors or subcontractors as apply to it in accordance with their terms and as hereafter amended, revised, or terminated.  Each Party agrees to furnish the other with such certifications or reports as may be required by law or regulation applicable to government contractors or subcontractors.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ind w:firstLine="720" w:end="0"/>
        <w:jc w:val="both"/>
        <w:rPr>
          <w:rFonts w:ascii="Arial" w:hAnsi="Arial" w:cs="Arial"/>
          <w:sz w:val="22"/>
          <w:szCs w:val="22"/>
        </w:rPr>
      </w:pPr>
      <w:r>
        <w:rPr>
          <w:rFonts w:cs="Arial" w:ascii="Arial" w:hAnsi="Arial"/>
          <w:spacing w:val="-2"/>
          <w:sz w:val="22"/>
          <w:szCs w:val="22"/>
        </w:rPr>
        <w:t>19.14</w:t>
        <w:tab/>
      </w:r>
      <w:r>
        <w:rPr>
          <w:rFonts w:cs="Arial" w:ascii="Arial" w:hAnsi="Arial"/>
          <w:spacing w:val="-2"/>
          <w:sz w:val="22"/>
          <w:szCs w:val="22"/>
          <w:u w:val="single"/>
        </w:rPr>
        <w:t>DISCLAIMER OF WARRANTIES</w:t>
      </w:r>
      <w:r>
        <w:rPr>
          <w:rFonts w:cs="Arial" w:ascii="Arial" w:hAnsi="Arial"/>
          <w:spacing w:val="-2"/>
          <w:sz w:val="22"/>
          <w:szCs w:val="22"/>
        </w:rPr>
        <w:t>.  THERE ARE NO WARRANTIES WHICH EXTEND BEYOND EXPRESS WARRANTIES SET FORTH HEREIN.  IN PARTICULAR, THERE ARE NO OTHER EXPRESS WARRANTIES AND NO IMPLIED WARRANTIES, INCLUDING ANY WARRANTIES OF MERCHANTABILITY OR FITNESS FOR A PARTICULAR PURPOSE.</w:t>
      </w:r>
    </w:p>
    <w:p>
      <w:pPr>
        <w:pStyle w:val="Normal"/>
        <w:widowControl w:val="false"/>
        <w:jc w:val="both"/>
        <w:rPr>
          <w:rFonts w:ascii="Arial" w:hAnsi="Arial" w:cs="Arial"/>
          <w:sz w:val="22"/>
          <w:szCs w:val="22"/>
        </w:rPr>
      </w:pPr>
      <w:r>
        <w:rPr>
          <w:rFonts w:cs="Arial" w:ascii="Arial" w:hAnsi="Arial"/>
          <w:sz w:val="22"/>
          <w:szCs w:val="22"/>
        </w:rPr>
      </w:r>
    </w:p>
    <w:p>
      <w:pPr>
        <w:pStyle w:val="Normal"/>
        <w:suppressAutoHyphens w:val="true"/>
        <w:ind w:firstLine="720" w:end="0"/>
        <w:jc w:val="both"/>
        <w:rPr/>
      </w:pPr>
      <w:r>
        <w:rPr>
          <w:rFonts w:cs="Arial" w:ascii="Arial" w:hAnsi="Arial"/>
          <w:spacing w:val="-2"/>
          <w:sz w:val="22"/>
          <w:szCs w:val="22"/>
        </w:rPr>
        <w:t>19.15</w:t>
        <w:tab/>
      </w:r>
      <w:r>
        <w:rPr>
          <w:rFonts w:cs="Arial" w:ascii="Arial" w:hAnsi="Arial"/>
          <w:spacing w:val="-2"/>
          <w:sz w:val="22"/>
          <w:szCs w:val="22"/>
          <w:u w:val="single"/>
        </w:rPr>
        <w:t>DECEPTIVE TRADE PRACTICES</w:t>
      </w:r>
      <w:r>
        <w:rPr>
          <w:rFonts w:cs="Arial" w:ascii="Arial" w:hAnsi="Arial"/>
          <w:spacing w:val="-2"/>
          <w:sz w:val="22"/>
          <w:szCs w:val="22"/>
        </w:rPr>
        <w:t xml:space="preserve">.  SELLER AND BUYER CERTIFY THAT THEY ARE NOT “CONSUMERS” WITHIN THE MEANING OF THE TEXAS DECEPTIVE TRADE PRACTICES-CONSUMER PROTECTION ACT, SUBCHAPTER E OF CHAPTER 17, SECTIONS </w:t>
      </w:r>
      <w:r>
        <w:rPr>
          <w:rFonts w:cs="Arial" w:ascii="Arial" w:hAnsi="Arial"/>
          <w:spacing w:val="-2"/>
          <w:sz w:val="22"/>
          <w:szCs w:val="22"/>
          <w:u w:val="single"/>
        </w:rPr>
        <w:t>17.41 ET SEQ.,</w:t>
      </w:r>
      <w:r>
        <w:rPr>
          <w:rFonts w:cs="Arial" w:ascii="Arial" w:hAnsi="Arial"/>
          <w:spacing w:val="-2"/>
          <w:sz w:val="22"/>
          <w:szCs w:val="22"/>
        </w:rPr>
        <w:t xml:space="preserve"> AMENDED (THE “DTPA”).  THE PARTIES COVENANT, FOR THEMSELVES DTPA IS APPLICABLE, (A) THE PARTIES ARE “BUSINESS CONSUMERS” THEREUNDER, (B) EACH PARTY HEREBY WAIVES AND RELEASES ALL OF ITS RIGHTS AND REMEDIES THEREUNDER (OTHER THAN SECTION 17.5555, TEXAS BUSINESS AND COMMERCE CODE) AS APPLICABLE TO THE OTHER PARTY AND ITS SUCCESSORS AND ASSIGNS, AND (C) EACH PARTY SHALL DEFEND AND INDEMNIFY THE OTHER FROM AND AGAINST ANY AND ALL OF THEIR AFFILIATES BASED IN WHOLE OR IN PART ON THE DTPA, ARISING OUT OF OR IN CONNECTION WITH THE TRANSACTION SET FORTH IN THIS AGREEMENT.</w:t>
      </w:r>
    </w:p>
    <w:p>
      <w:pPr>
        <w:pStyle w:val="Normal"/>
        <w:suppressAutoHyphens w:val="true"/>
        <w:jc w:val="both"/>
        <w:rPr>
          <w:rFonts w:ascii="Arial" w:hAnsi="Arial" w:cs="Arial"/>
          <w:spacing w:val="-2"/>
          <w:sz w:val="22"/>
          <w:szCs w:val="22"/>
        </w:rPr>
      </w:pPr>
      <w:r>
        <w:rPr>
          <w:rFonts w:cs="Arial" w:ascii="Arial" w:hAnsi="Arial"/>
          <w:spacing w:val="-2"/>
          <w:sz w:val="22"/>
          <w:szCs w:val="22"/>
        </w:rPr>
      </w:r>
    </w:p>
    <w:p>
      <w:pPr>
        <w:pStyle w:val="Normal"/>
        <w:widowControl w:val="false"/>
        <w:ind w:firstLine="720" w:end="0"/>
        <w:jc w:val="both"/>
        <w:rPr/>
      </w:pPr>
      <w:r>
        <w:rPr>
          <w:rFonts w:cs="Arial" w:ascii="Arial" w:hAnsi="Arial"/>
          <w:spacing w:val="-2"/>
          <w:sz w:val="22"/>
          <w:szCs w:val="22"/>
        </w:rPr>
        <w:t>19.16</w:t>
        <w:tab/>
      </w:r>
      <w:r>
        <w:rPr>
          <w:rFonts w:cs="Arial" w:ascii="Arial" w:hAnsi="Arial"/>
          <w:spacing w:val="-2"/>
          <w:sz w:val="22"/>
          <w:szCs w:val="22"/>
          <w:u w:val="single"/>
        </w:rPr>
        <w:t>LIMITATION ON LIABILITY</w:t>
      </w:r>
      <w:r>
        <w:rPr>
          <w:rFonts w:cs="Arial" w:ascii="Arial" w:hAnsi="Arial"/>
          <w:spacing w:val="-2"/>
          <w:sz w:val="22"/>
          <w:szCs w:val="22"/>
        </w:rPr>
        <w:t>.  EXCEPT EXPRESSLY PROVIDED HEREIN, THE PARTIES HERETO WAIVE ANY AND ALL RIGHTS, CLAIMS OR CAUSES OF ACTION ARISING UNDER THIS AGREEMENT FOR INCIDENTAL, CONSEQUENTIAL OR PUNITIVE DAMAGES.  THIS PROVISION SHALL SURVIVE ANY TERMINATION OF THIS AGREEMENT.</w:t>
      </w:r>
    </w:p>
    <w:p>
      <w:pPr>
        <w:pStyle w:val="Normal"/>
        <w:widowControl w:val="false"/>
        <w:jc w:val="both"/>
        <w:rPr>
          <w:rFonts w:ascii="Arial" w:hAnsi="Arial" w:cs="Arial"/>
          <w:spacing w:val="-2"/>
          <w:sz w:val="22"/>
          <w:szCs w:val="22"/>
        </w:rPr>
      </w:pPr>
      <w:r>
        <w:rPr>
          <w:rFonts w:cs="Arial" w:ascii="Arial" w:hAnsi="Arial"/>
          <w:spacing w:val="-2"/>
          <w:sz w:val="22"/>
          <w:szCs w:val="22"/>
        </w:rPr>
      </w:r>
      <w:r>
        <w:br w:type="page"/>
      </w:r>
    </w:p>
    <w:p>
      <w:pPr>
        <w:pStyle w:val="Normal"/>
        <w:widowControl w:val="false"/>
        <w:jc w:val="both"/>
        <w:rPr>
          <w:rFonts w:ascii="Arial" w:hAnsi="Arial" w:cs="Arial"/>
          <w:spacing w:val="-2"/>
          <w:sz w:val="22"/>
          <w:szCs w:val="22"/>
        </w:rPr>
      </w:pPr>
      <w:r>
        <w:rPr>
          <w:rFonts w:cs="Arial" w:ascii="Arial" w:hAnsi="Arial"/>
          <w:spacing w:val="-2"/>
          <w:sz w:val="22"/>
          <w:szCs w:val="22"/>
        </w:rPr>
      </w:r>
    </w:p>
    <w:p>
      <w:pPr>
        <w:pStyle w:val="BodyText"/>
        <w:widowControl w:val="false"/>
        <w:ind w:firstLine="720" w:end="0"/>
        <w:rPr>
          <w:rFonts w:ascii="Arial" w:hAnsi="Arial" w:cs="Arial"/>
        </w:rPr>
      </w:pPr>
      <w:r>
        <w:rPr>
          <w:rFonts w:cs="Arial" w:ascii="Arial" w:hAnsi="Arial"/>
        </w:rPr>
        <w:t>IN WITNESS WHEREOF, the Parties hereto have executed this Agreement in duplicate originals to be effective as of the day and year first written above.</w:t>
      </w:r>
    </w:p>
    <w:p>
      <w:pPr>
        <w:pStyle w:val="Normal"/>
        <w:widowControl w:val="false"/>
        <w:jc w:val="both"/>
        <w:rPr>
          <w:rFonts w:ascii="Arial" w:hAnsi="Arial" w:cs="Arial"/>
          <w:sz w:val="22"/>
          <w:szCs w:val="22"/>
        </w:rPr>
      </w:pPr>
      <w:r>
        <w:rPr>
          <w:rFonts w:cs="Arial" w:ascii="Arial" w:hAnsi="Arial"/>
          <w:sz w:val="22"/>
          <w:szCs w:val="22"/>
        </w:rPr>
      </w:r>
    </w:p>
    <w:tbl>
      <w:tblPr>
        <w:tblW w:w="9576" w:type="dxa"/>
        <w:jc w:val="start"/>
        <w:tblInd w:w="0" w:type="dxa"/>
        <w:tblLayout w:type="fixed"/>
        <w:tblCellMar>
          <w:top w:w="0" w:type="dxa"/>
          <w:start w:w="108" w:type="dxa"/>
          <w:bottom w:w="0" w:type="dxa"/>
          <w:end w:w="108" w:type="dxa"/>
        </w:tblCellMar>
      </w:tblPr>
      <w:tblGrid>
        <w:gridCol w:w="918"/>
        <w:gridCol w:w="3600"/>
        <w:gridCol w:w="450"/>
        <w:gridCol w:w="900"/>
        <w:gridCol w:w="3708"/>
      </w:tblGrid>
      <w:tr>
        <w:trPr/>
        <w:tc>
          <w:tcPr>
            <w:tcW w:w="4518" w:type="dxa"/>
            <w:gridSpan w:val="2"/>
            <w:tcBorders/>
          </w:tcPr>
          <w:p>
            <w:pPr>
              <w:pStyle w:val="Normal"/>
              <w:widowControl w:val="false"/>
              <w:jc w:val="both"/>
              <w:rPr>
                <w:rFonts w:ascii="Arial" w:hAnsi="Arial" w:cs="Arial"/>
                <w:sz w:val="22"/>
                <w:szCs w:val="22"/>
              </w:rPr>
            </w:pPr>
            <w:r>
              <w:rPr>
                <w:rFonts w:cs="Arial" w:ascii="Arial" w:hAnsi="Arial"/>
                <w:sz w:val="22"/>
                <w:szCs w:val="22"/>
              </w:rPr>
              <w:t>“</w:t>
            </w:r>
            <w:r>
              <w:rPr>
                <w:rFonts w:cs="Arial" w:ascii="Arial" w:hAnsi="Arial"/>
                <w:sz w:val="22"/>
                <w:szCs w:val="22"/>
              </w:rPr>
              <w:t>COMPANY”</w:t>
            </w:r>
          </w:p>
        </w:tc>
        <w:tc>
          <w:tcPr>
            <w:tcW w:w="45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4608" w:type="dxa"/>
            <w:gridSpan w:val="2"/>
            <w:tcBorders/>
          </w:tcPr>
          <w:p>
            <w:pPr>
              <w:pStyle w:val="Normal"/>
              <w:widowControl w:val="false"/>
              <w:jc w:val="both"/>
              <w:rPr>
                <w:rFonts w:ascii="Arial" w:hAnsi="Arial" w:cs="Arial"/>
                <w:sz w:val="22"/>
                <w:szCs w:val="22"/>
              </w:rPr>
            </w:pPr>
            <w:r>
              <w:rPr>
                <w:rFonts w:cs="Arial" w:ascii="Arial" w:hAnsi="Arial"/>
                <w:sz w:val="22"/>
                <w:szCs w:val="22"/>
              </w:rPr>
              <w:t>“</w:t>
            </w:r>
            <w:r>
              <w:rPr>
                <w:rFonts w:cs="Arial" w:ascii="Arial" w:hAnsi="Arial"/>
                <w:sz w:val="22"/>
                <w:szCs w:val="22"/>
              </w:rPr>
              <w:t>COUNTERPARTY”</w:t>
            </w:r>
          </w:p>
        </w:tc>
      </w:tr>
      <w:tr>
        <w:trPr/>
        <w:tc>
          <w:tcPr>
            <w:tcW w:w="4518" w:type="dxa"/>
            <w:gridSpan w:val="2"/>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45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4608" w:type="dxa"/>
            <w:gridSpan w:val="2"/>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4518" w:type="dxa"/>
            <w:gridSpan w:val="2"/>
            <w:tcBorders/>
          </w:tcPr>
          <w:p>
            <w:pPr>
              <w:pStyle w:val="Normal"/>
              <w:widowControl w:val="false"/>
              <w:jc w:val="both"/>
              <w:rPr>
                <w:rFonts w:ascii="Arial" w:hAnsi="Arial" w:cs="Arial"/>
                <w:sz w:val="22"/>
                <w:szCs w:val="22"/>
              </w:rPr>
            </w:pPr>
            <w:r>
              <w:rPr>
                <w:rFonts w:cs="Arial" w:ascii="Arial" w:hAnsi="Arial"/>
                <w:b/>
                <w:bCs/>
                <w:sz w:val="22"/>
                <w:szCs w:val="22"/>
              </w:rPr>
              <w:t>El Paso Merchant Energy, L.P.</w:t>
            </w:r>
          </w:p>
        </w:tc>
        <w:tc>
          <w:tcPr>
            <w:tcW w:w="45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4608" w:type="dxa"/>
            <w:gridSpan w:val="2"/>
            <w:tcBorders/>
          </w:tcPr>
          <w:p>
            <w:pPr>
              <w:pStyle w:val="Normal"/>
              <w:widowControl w:val="false"/>
              <w:snapToGrid w:val="false"/>
              <w:jc w:val="both"/>
              <w:rPr>
                <w:rFonts w:ascii="Arial" w:hAnsi="Arial" w:cs="Arial"/>
                <w:b/>
                <w:bCs/>
                <w:color w:val="FF0000"/>
                <w:sz w:val="22"/>
                <w:szCs w:val="22"/>
              </w:rPr>
            </w:pPr>
            <w:r>
              <w:rPr>
                <w:rFonts w:cs="Arial" w:ascii="Arial" w:hAnsi="Arial"/>
                <w:b/>
                <w:bCs/>
                <w:color w:val="FF0000"/>
                <w:sz w:val="22"/>
                <w:szCs w:val="22"/>
              </w:rPr>
            </w:r>
          </w:p>
        </w:tc>
      </w:tr>
      <w:tr>
        <w:trPr/>
        <w:tc>
          <w:tcPr>
            <w:tcW w:w="4518" w:type="dxa"/>
            <w:gridSpan w:val="2"/>
            <w:tcBorders/>
          </w:tcPr>
          <w:p>
            <w:pPr>
              <w:pStyle w:val="Normal"/>
              <w:widowControl w:val="false"/>
              <w:snapToGrid w:val="false"/>
              <w:jc w:val="both"/>
              <w:rPr>
                <w:rFonts w:ascii="Arial" w:hAnsi="Arial" w:cs="Arial"/>
                <w:b/>
                <w:bCs/>
                <w:color w:val="FF0000"/>
                <w:sz w:val="22"/>
                <w:szCs w:val="22"/>
              </w:rPr>
            </w:pPr>
            <w:r>
              <w:rPr>
                <w:rFonts w:cs="Arial" w:ascii="Arial" w:hAnsi="Arial"/>
                <w:b/>
                <w:bCs/>
                <w:color w:val="FF0000"/>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608" w:type="dxa"/>
            <w:gridSpan w:val="2"/>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By:</w:t>
            </w:r>
          </w:p>
        </w:tc>
        <w:tc>
          <w:tcPr>
            <w:tcW w:w="3600" w:type="dxa"/>
            <w:tcBorders>
              <w:bottom w:val="single" w:sz="6"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By:</w:t>
            </w:r>
          </w:p>
        </w:tc>
        <w:tc>
          <w:tcPr>
            <w:tcW w:w="3708" w:type="dxa"/>
            <w:tcBorders>
              <w:bottom w:val="single" w:sz="6"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70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Name:</w:t>
            </w:r>
          </w:p>
        </w:tc>
        <w:tc>
          <w:tcPr>
            <w:tcW w:w="3600" w:type="dxa"/>
            <w:tcBorders>
              <w:bottom w:val="single" w:sz="6"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Name:</w:t>
            </w:r>
          </w:p>
        </w:tc>
        <w:tc>
          <w:tcPr>
            <w:tcW w:w="3708" w:type="dxa"/>
            <w:tcBorders>
              <w:bottom w:val="single" w:sz="6"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370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Title:</w:t>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Title:</w:t>
            </w:r>
          </w:p>
        </w:tc>
        <w:tc>
          <w:tcPr>
            <w:tcW w:w="3708" w:type="dxa"/>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tc>
          <w:tcPr>
            <w:tcW w:w="918" w:type="dxa"/>
            <w:tcBorders/>
          </w:tcPr>
          <w:p>
            <w:pPr>
              <w:pStyle w:val="Normal"/>
              <w:widowControl w:val="false"/>
              <w:jc w:val="both"/>
              <w:rPr>
                <w:rFonts w:ascii="Arial" w:hAnsi="Arial" w:cs="Arial"/>
                <w:b/>
                <w:bCs/>
                <w:sz w:val="22"/>
                <w:szCs w:val="22"/>
              </w:rPr>
            </w:pPr>
            <w:r>
              <w:rPr>
                <w:rFonts w:cs="Arial" w:ascii="Arial" w:hAnsi="Arial"/>
                <w:b/>
                <w:bCs/>
                <w:sz w:val="18"/>
                <w:szCs w:val="18"/>
              </w:rPr>
              <w:t>Federal</w:t>
            </w:r>
            <w:r>
              <w:rPr>
                <w:rFonts w:cs="Arial" w:ascii="Arial" w:hAnsi="Arial"/>
                <w:b/>
                <w:bCs/>
                <w:sz w:val="22"/>
                <w:szCs w:val="22"/>
              </w:rPr>
              <w:t xml:space="preserve"> </w:t>
            </w:r>
            <w:r>
              <w:rPr>
                <w:rFonts w:cs="Arial" w:ascii="Arial" w:hAnsi="Arial"/>
                <w:b/>
                <w:bCs/>
                <w:sz w:val="18"/>
                <w:szCs w:val="18"/>
              </w:rPr>
              <w:t>Tax ID#</w:t>
            </w:r>
          </w:p>
        </w:tc>
        <w:tc>
          <w:tcPr>
            <w:tcW w:w="360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b/>
                <w:bCs/>
                <w:sz w:val="18"/>
                <w:szCs w:val="18"/>
              </w:rPr>
            </w:pPr>
            <w:r>
              <w:rPr>
                <w:rFonts w:cs="Arial" w:ascii="Arial" w:hAnsi="Arial"/>
                <w:b/>
                <w:bCs/>
                <w:sz w:val="18"/>
                <w:szCs w:val="18"/>
              </w:rPr>
              <w:t>Federal Tax ID#</w:t>
            </w:r>
          </w:p>
        </w:tc>
        <w:tc>
          <w:tcPr>
            <w:tcW w:w="3708"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r>
      <w:tr>
        <w:trPr/>
        <w:tc>
          <w:tcPr>
            <w:tcW w:w="918" w:type="dxa"/>
            <w:tcBorders/>
          </w:tcPr>
          <w:p>
            <w:pPr>
              <w:pStyle w:val="Normal"/>
              <w:widowControl w:val="false"/>
              <w:jc w:val="both"/>
              <w:rPr>
                <w:rFonts w:ascii="Arial" w:hAnsi="Arial" w:cs="Arial"/>
                <w:sz w:val="22"/>
                <w:szCs w:val="22"/>
              </w:rPr>
            </w:pPr>
            <w:r>
              <w:rPr>
                <w:rFonts w:cs="Arial" w:ascii="Arial" w:hAnsi="Arial"/>
                <w:sz w:val="22"/>
                <w:szCs w:val="22"/>
              </w:rPr>
              <w:t>Duns #</w:t>
            </w:r>
          </w:p>
        </w:tc>
        <w:tc>
          <w:tcPr>
            <w:tcW w:w="3600" w:type="dxa"/>
            <w:tcBorders>
              <w:bottom w:val="single" w:sz="6"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450" w:type="dxa"/>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900" w:type="dxa"/>
            <w:tcBorders/>
          </w:tcPr>
          <w:p>
            <w:pPr>
              <w:pStyle w:val="Normal"/>
              <w:widowControl w:val="false"/>
              <w:jc w:val="both"/>
              <w:rPr>
                <w:rFonts w:ascii="Arial" w:hAnsi="Arial" w:cs="Arial"/>
                <w:sz w:val="22"/>
                <w:szCs w:val="22"/>
              </w:rPr>
            </w:pPr>
            <w:r>
              <w:rPr>
                <w:rFonts w:cs="Arial" w:ascii="Arial" w:hAnsi="Arial"/>
                <w:sz w:val="22"/>
                <w:szCs w:val="22"/>
              </w:rPr>
              <w:t>Duns #</w:t>
            </w:r>
          </w:p>
        </w:tc>
        <w:tc>
          <w:tcPr>
            <w:tcW w:w="3708" w:type="dxa"/>
            <w:tcBorders>
              <w:bottom w:val="single" w:sz="6"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bl>
    <w:p>
      <w:pPr>
        <w:pStyle w:val="Heading1"/>
        <w:ind w:hanging="0" w:start="0"/>
        <w:jc w:val="start"/>
        <w:rPr/>
      </w:pPr>
      <w:r>
        <w:rPr/>
      </w:r>
    </w:p>
    <w:p>
      <w:pPr>
        <w:pStyle w:val="Normal"/>
        <w:rPr/>
      </w:pPr>
      <w:r>
        <w:rPr/>
      </w:r>
    </w:p>
    <w:p>
      <w:pPr>
        <w:pStyle w:val="Normal"/>
        <w:rPr/>
      </w:pPr>
      <w:r>
        <w:rPr/>
      </w:r>
    </w:p>
    <w:p>
      <w:pPr>
        <w:pStyle w:val="Normal"/>
        <w:rPr/>
      </w:pPr>
      <w:r>
        <w:rPr/>
      </w:r>
    </w:p>
    <w:p>
      <w:pPr>
        <w:pStyle w:val="BodyText"/>
        <w:rPr>
          <w:rFonts w:ascii="Arial" w:hAnsi="Arial" w:cs="Arial"/>
        </w:rPr>
      </w:pPr>
      <w:r>
        <w:rPr>
          <w:rFonts w:cs="Arial" w:ascii="Arial" w:hAnsi="Arial"/>
        </w:rPr>
        <w:t>Signature page to Master Natural Gas Purchase and Sale Agreement between ___________________________ (“Company”) and ______________________________ (“Counterparty”), dated 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ind w:end="360"/>
      <w:jc w:val="cen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center"/>
      <w:outlineLvl w:val="0"/>
    </w:pPr>
    <w:rPr>
      <w:b/>
      <w:bCs/>
      <w:caps/>
      <w:kern w:val="2"/>
      <w:sz w:val="24"/>
      <w:szCs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4"/>
      <w:szCs w:val="24"/>
    </w:rPr>
  </w:style>
  <w:style w:type="paragraph" w:styleId="Heading3">
    <w:name w:val="heading 3"/>
    <w:basedOn w:val="Normal"/>
    <w:next w:val="Normal"/>
    <w:qFormat/>
    <w:pPr>
      <w:keepNext w:val="true"/>
      <w:numPr>
        <w:ilvl w:val="2"/>
        <w:numId w:val="1"/>
      </w:numPr>
      <w:spacing w:before="240" w:after="60"/>
      <w:jc w:val="center"/>
      <w:outlineLvl w:val="2"/>
    </w:pPr>
    <w:rPr>
      <w:sz w:val="24"/>
      <w:szCs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u w:val="single"/>
    </w:rPr>
  </w:style>
  <w:style w:type="character" w:styleId="WW8Num5z0">
    <w:name w:val="WW8Num5z0"/>
    <w:qFormat/>
    <w:rPr>
      <w:u w:val="none"/>
    </w:rPr>
  </w:style>
  <w:style w:type="character" w:styleId="WW8Num6z0">
    <w:name w:val="WW8Num6z0"/>
    <w:qFormat/>
    <w:rPr>
      <w:u w:val="single"/>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single"/>
    </w:rPr>
  </w:style>
  <w:style w:type="character" w:styleId="WW8Num17z0">
    <w:name w:val="WW8Num17z0"/>
    <w:qFormat/>
    <w:rPr/>
  </w:style>
  <w:style w:type="character" w:styleId="WW8Num18z0">
    <w:name w:val="WW8Num18z0"/>
    <w:qFormat/>
    <w:rPr>
      <w:u w:val="singl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u w:val="single"/>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u w:val="single"/>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u w:val="single"/>
    </w:rPr>
  </w:style>
  <w:style w:type="character" w:styleId="WW8Num48z0">
    <w:name w:val="WW8Num48z0"/>
    <w:qFormat/>
    <w:rPr/>
  </w:style>
  <w:style w:type="character" w:styleId="WW8Num49z0">
    <w:name w:val="WW8Num49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50" w:leader="dot"/>
      </w:tabs>
      <w:spacing w:lineRule="auto" w:line="360"/>
    </w:pPr>
    <w:rPr>
      <w:rFonts w:ascii="Arial" w:hAnsi="Arial" w:cs="Arial"/>
      <w:b/>
      <w:bCs/>
      <w:caps/>
      <w:lang w:val="en-CA" w:eastAsia="en-CA"/>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iCs/>
    </w:rPr>
  </w:style>
  <w:style w:type="paragraph" w:styleId="TOC4">
    <w:name w:val="toc 4"/>
    <w:basedOn w:val="Normal"/>
    <w:next w:val="Normal"/>
    <w:pPr>
      <w:ind w:hanging="0" w:start="600" w:end="0"/>
    </w:pPr>
    <w:rPr>
      <w:sz w:val="18"/>
      <w:szCs w:val="18"/>
    </w:rPr>
  </w:style>
  <w:style w:type="paragraph" w:styleId="TOC5">
    <w:name w:val="toc 5"/>
    <w:basedOn w:val="Normal"/>
    <w:next w:val="Normal"/>
    <w:pPr>
      <w:ind w:hanging="0" w:start="800" w:end="0"/>
    </w:pPr>
    <w:rPr>
      <w:sz w:val="18"/>
      <w:szCs w:val="18"/>
    </w:rPr>
  </w:style>
  <w:style w:type="paragraph" w:styleId="TOC6">
    <w:name w:val="toc 6"/>
    <w:basedOn w:val="Normal"/>
    <w:next w:val="Normal"/>
    <w:pPr>
      <w:ind w:hanging="0" w:start="1000" w:end="0"/>
    </w:pPr>
    <w:rPr>
      <w:sz w:val="18"/>
      <w:szCs w:val="18"/>
    </w:rPr>
  </w:style>
  <w:style w:type="paragraph" w:styleId="TOC7">
    <w:name w:val="toc 7"/>
    <w:basedOn w:val="Normal"/>
    <w:next w:val="Normal"/>
    <w:pPr>
      <w:ind w:hanging="0" w:start="1200" w:end="0"/>
    </w:pPr>
    <w:rPr>
      <w:sz w:val="18"/>
      <w:szCs w:val="18"/>
    </w:rPr>
  </w:style>
  <w:style w:type="paragraph" w:styleId="TOC8">
    <w:name w:val="toc 8"/>
    <w:basedOn w:val="Normal"/>
    <w:next w:val="Normal"/>
    <w:pPr>
      <w:ind w:hanging="0" w:start="1400" w:end="0"/>
    </w:pPr>
    <w:rPr>
      <w:sz w:val="18"/>
      <w:szCs w:val="18"/>
    </w:rPr>
  </w:style>
  <w:style w:type="paragraph" w:styleId="TOC9">
    <w:name w:val="toc 9"/>
    <w:basedOn w:val="Normal"/>
    <w:next w:val="Normal"/>
    <w:pPr>
      <w:ind w:hanging="0" w:start="1600" w:end="0"/>
    </w:pPr>
    <w:rPr>
      <w:sz w:val="18"/>
      <w:szCs w:val="1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720" w:leader="none"/>
      </w:tabs>
      <w:suppressAutoHyphens w:val="true"/>
      <w:ind w:hanging="0" w:start="360" w:end="0"/>
      <w:jc w:val="both"/>
    </w:pPr>
    <w:rPr>
      <w:rFonts w:ascii="Arial" w:hAnsi="Arial" w:cs="Arial"/>
      <w:spacing w:val="-2"/>
      <w:sz w:val="24"/>
      <w:szCs w:val="24"/>
    </w:rPr>
  </w:style>
  <w:style w:type="paragraph" w:styleId="BodyTextIndent2">
    <w:name w:val="Body Text Indent 2"/>
    <w:basedOn w:val="Normal"/>
    <w:qFormat/>
    <w:pPr>
      <w:tabs>
        <w:tab w:val="clear" w:pos="720"/>
        <w:tab w:val="left" w:pos="1008" w:leader="none"/>
        <w:tab w:val="left" w:pos="1440" w:leader="none"/>
        <w:tab w:val="left" w:pos="5760" w:leader="none"/>
        <w:tab w:val="left" w:pos="13248" w:leader="none"/>
      </w:tabs>
      <w:spacing w:lineRule="exact" w:line="288"/>
      <w:ind w:hanging="1008" w:start="1008" w:end="0"/>
      <w:jc w:val="both"/>
    </w:pPr>
    <w:rPr>
      <w:spacing w:val="-2"/>
      <w:sz w:val="24"/>
      <w:szCs w:val="24"/>
    </w:rPr>
  </w:style>
  <w:style w:type="paragraph" w:styleId="BodyTextIndent3">
    <w:name w:val="Body Text Indent 3"/>
    <w:basedOn w:val="Normal"/>
    <w:qFormat/>
    <w:pPr>
      <w:widowControl w:val="false"/>
      <w:tabs>
        <w:tab w:val="clear" w:pos="720"/>
        <w:tab w:val="left" w:pos="2160" w:leader="none"/>
        <w:tab w:val="left" w:pos="8640" w:leader="none"/>
      </w:tabs>
      <w:ind w:firstLine="540" w:start="720" w:end="0"/>
      <w:jc w:val="both"/>
    </w:pPr>
    <w:rPr>
      <w:sz w:val="22"/>
      <w:szCs w:val="22"/>
    </w:rPr>
  </w:style>
  <w:style w:type="paragraph" w:styleId="CommentText">
    <w:name w:val="Comment Text"/>
    <w:basedOn w:val="Normal"/>
    <w:qFormat/>
    <w:pPr/>
    <w:rPr/>
  </w:style>
  <w:style w:type="paragraph" w:styleId="BodyText3">
    <w:name w:val="Body Text 3"/>
    <w:basedOn w:val="Normal"/>
    <w:qFormat/>
    <w:pPr>
      <w:widowControl w:val="false"/>
      <w:tabs>
        <w:tab w:val="clear" w:pos="720"/>
        <w:tab w:val="left" w:pos="1440" w:leader="none"/>
        <w:tab w:val="left" w:pos="8640" w:leader="none"/>
      </w:tabs>
      <w:jc w:val="both"/>
    </w:pPr>
    <w:rPr>
      <w:rFonts w:ascii="Arial" w:hAnsi="Arial" w:cs="Arial"/>
    </w:rPr>
  </w:style>
  <w:style w:type="paragraph" w:styleId="STANDARD">
    <w:name w:val="STANDARD"/>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bidi w:val="0"/>
      <w:spacing w:lineRule="auto" w:line="288" w:before="0" w:after="120"/>
      <w:ind w:firstLine="720" w:start="0" w:end="0"/>
    </w:pPr>
    <w:rPr>
      <w:rFonts w:ascii="Times New Roman" w:hAnsi="Times New Roman" w:eastAsia="Times New Roman" w:cs="Times New Roman"/>
      <w:color w:val="auto"/>
      <w:sz w:val="24"/>
      <w:szCs w:val="24"/>
      <w:lang w:val="en-US" w:bidi="ar-SA" w:eastAsia="zh-CN"/>
    </w:rPr>
  </w:style>
  <w:style w:type="paragraph" w:styleId="Standard-Heading1">
    <w:name w:val="Standard-Heading 1"/>
    <w:basedOn w:val="STANDARD"/>
    <w:next w:val="STANDARD"/>
    <w:qFormat/>
    <w:pPr>
      <w:widowControl w:val="false"/>
      <w:spacing w:lineRule="auto" w:line="360" w:before="60" w:after="120"/>
      <w:jc w:val="center"/>
    </w:pPr>
    <w:rPr>
      <w:b/>
      <w:bCs/>
      <w:u w:val="single"/>
    </w:rPr>
  </w:style>
  <w:style w:type="paragraph" w:styleId="STD-quote">
    <w:name w:val="STD-quote"/>
    <w:basedOn w:val="STANDARD"/>
    <w:next w:val="STANDARD"/>
    <w:qFormat/>
    <w:pPr>
      <w:spacing w:lineRule="auto" w:line="24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2001-06-26T12:04:00Z</dcterms:created>
  <dc:creator>El Paso Energy Corp.</dc:creator>
  <dc:description>This is the template for the Access program.</dc:description>
  <dc:language>en-CA</dc:language>
  <cp:lastModifiedBy>El Paso Energy Corp</cp:lastModifiedBy>
  <cp:lastPrinted>2001-05-31T10:07:00Z</cp:lastPrinted>
  <dcterms:modified xsi:type="dcterms:W3CDTF">2001-06-26T12:05:00Z</dcterms:modified>
  <cp:revision>4</cp:revision>
  <dc:subject/>
  <dc:title>POWER PURCHASE AND SALE AGREEMENT</dc:title>
</cp:coreProperties>
</file>