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ind w:hanging="0" w:start="0"/>
        <w:jc w:val="start"/>
        <w:rPr>
          <w:rFonts w:ascii="Times New Roman" w:hAnsi="Times New Roman" w:cs="Times New Roman"/>
        </w:rPr>
      </w:pPr>
      <w:r>
        <w:rPr>
          <w:rFonts w:cs="Times New Roman" w:ascii="Times New Roman" w:hAnsi="Times New Roman"/>
        </w:rPr>
        <w:t xml:space="preserve">MEMORANDUM </w:t>
        <w:tab/>
        <w:tab/>
        <w:tab/>
        <w:tab/>
        <w:tab/>
        <w:tab/>
        <w:tab/>
        <w:tab/>
        <w:t>CONFIDENTIAL</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To:</w:t>
        <w:tab/>
        <w:tab/>
        <w:t>Mark Metts, Lou Potempa</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Cc:</w:t>
        <w:tab/>
        <w:tab/>
        <w:t xml:space="preserve">Steve Kean, Stan Horton, Jim Prentice, Mike Terraso, Rick Shaprio, Joe </w:t>
      </w:r>
    </w:p>
    <w:p>
      <w:pPr>
        <w:pStyle w:val="Normal"/>
        <w:ind w:firstLine="720" w:start="720" w:end="0"/>
        <w:rPr>
          <w:rFonts w:ascii="Times New Roman" w:hAnsi="Times New Roman" w:cs="Times New Roman"/>
        </w:rPr>
      </w:pPr>
      <w:r>
        <w:rPr>
          <w:rFonts w:cs="Times New Roman" w:ascii="Times New Roman" w:hAnsi="Times New Roman"/>
        </w:rPr>
        <w:t>Hillings, Cynthia Sandherr</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From:</w:t>
        <w:tab/>
        <w:tab/>
        <w:t>Jeff Keeler, Director, Environmental Strategies</w:t>
      </w:r>
    </w:p>
    <w:p>
      <w:pPr>
        <w:pStyle w:val="Normal"/>
        <w:rPr>
          <w:rFonts w:ascii="Times New Roman" w:hAnsi="Times New Roman" w:cs="Times New Roman"/>
        </w:rPr>
      </w:pPr>
      <w:r>
        <w:rPr>
          <w:rFonts w:cs="Times New Roman" w:ascii="Times New Roman" w:hAnsi="Times New Roman"/>
        </w:rPr>
        <w:tab/>
        <w:tab/>
        <w:t>Enron Corp.</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Date:</w:t>
        <w:tab/>
        <w:tab/>
      </w:r>
      <w:r>
        <w:rPr>
          <w:rFonts w:cs="Times New Roman" w:ascii="Times New Roman" w:hAnsi="Times New Roman"/>
        </w:rPr>
        <w:fldChar w:fldCharType="begin"/>
      </w:r>
      <w:r>
        <w:rPr>
          <w:rFonts w:cs="Times New Roman" w:ascii="Times New Roman" w:hAnsi="Times New Roman"/>
        </w:rPr>
        <w:instrText xml:space="preserve"> DATE \@"MMMM\ d', 'yyyy" </w:instrText>
      </w:r>
      <w:r>
        <w:rPr>
          <w:rFonts w:cs="Times New Roman" w:ascii="Times New Roman" w:hAnsi="Times New Roman"/>
        </w:rPr>
        <w:fldChar w:fldCharType="separate"/>
      </w:r>
      <w:r>
        <w:rPr>
          <w:rFonts w:cs="Times New Roman" w:ascii="Times New Roman" w:hAnsi="Times New Roman"/>
        </w:rPr>
        <w:t>September 28, 2025</w:t>
      </w:r>
      <w:r>
        <w:rPr>
          <w:rFonts w:cs="Times New Roman" w:ascii="Times New Roman" w:hAnsi="Times New Roman"/>
        </w:rPr>
        <w:fldChar w:fldCharType="end"/>
      </w:r>
    </w:p>
    <w:p>
      <w:pPr>
        <w:pStyle w:val="Normal"/>
        <w:rPr>
          <w:rFonts w:ascii="Times New Roman" w:hAnsi="Times New Roman" w:cs="Times New Roman"/>
        </w:rPr>
      </w:pPr>
      <w:r>
        <w:rPr>
          <w:rFonts w:cs="Times New Roman" w:ascii="Times New Roman" w:hAnsi="Times New Roman"/>
        </w:rPr>
      </w:r>
    </w:p>
    <w:p>
      <w:pPr>
        <w:pStyle w:val="Footer"/>
        <w:tabs>
          <w:tab w:val="clear" w:pos="4320"/>
          <w:tab w:val="clear" w:pos="8640"/>
        </w:tabs>
        <w:rPr>
          <w:rFonts w:ascii="Times New Roman" w:hAnsi="Times New Roman" w:cs="Times New Roman"/>
        </w:rPr>
      </w:pPr>
      <w:r>
        <w:rPr>
          <w:rFonts w:cs="Times New Roman" w:ascii="Times New Roman" w:hAnsi="Times New Roman"/>
        </w:rPr>
        <w:t>Subject:</w:t>
        <w:tab/>
        <w:t>MTBE Stranded Cost Recovery/Liability Protection Efforts</w:t>
      </w:r>
    </w:p>
    <w:p>
      <w:pPr>
        <w:pStyle w:val="Normal"/>
        <w:pBdr>
          <w:bottom w:val="single" w:sz="12" w:space="1" w:color="000000"/>
        </w:pBdr>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BodyText"/>
        <w:rPr/>
      </w:pPr>
      <w:r>
        <w:rPr/>
        <w:t>Steve Kean asked me to summarize for you our efforts on legislation to provide stranded cost recovery for the MTBE asset and possible protection from lawsuit liability.  He also asked that I provide some information and analysis of how this effort might ultimately impact the sale or other treatment of the asset by your corporate development team.</w:t>
      </w:r>
    </w:p>
    <w:p>
      <w:pPr>
        <w:pStyle w:val="Normal"/>
        <w:spacing w:lineRule="atLeast" w:line="240"/>
        <w:rPr>
          <w:rFonts w:ascii="Times New Roman" w:hAnsi="Times New Roman" w:cs="Times New Roman"/>
          <w:color w:val="000000"/>
          <w:lang w:eastAsia="en-US"/>
        </w:rPr>
      </w:pPr>
      <w:r>
        <w:rPr>
          <w:rFonts w:cs="Times New Roman" w:ascii="Times New Roman" w:hAnsi="Times New Roman"/>
          <w:color w:val="000000"/>
          <w:lang w:eastAsia="en-US"/>
        </w:rPr>
      </w:r>
    </w:p>
    <w:p>
      <w:pPr>
        <w:pStyle w:val="Normal"/>
        <w:numPr>
          <w:ilvl w:val="0"/>
          <w:numId w:val="3"/>
        </w:numPr>
        <w:spacing w:lineRule="atLeast" w:line="240"/>
        <w:rPr>
          <w:rFonts w:ascii="Times New Roman" w:hAnsi="Times New Roman" w:cs="Times New Roman"/>
          <w:color w:val="000000"/>
          <w:lang w:eastAsia="en-US"/>
        </w:rPr>
      </w:pPr>
      <w:r>
        <w:rPr>
          <w:rFonts w:cs="Times New Roman" w:ascii="Times New Roman" w:hAnsi="Times New Roman"/>
          <w:color w:val="000000"/>
          <w:u w:val="single"/>
          <w:lang w:eastAsia="en-US"/>
        </w:rPr>
        <w:t>Legislative/Regulatory Background</w:t>
      </w:r>
      <w:r>
        <w:rPr>
          <w:rFonts w:cs="Times New Roman" w:ascii="Times New Roman" w:hAnsi="Times New Roman"/>
          <w:color w:val="000000"/>
          <w:lang w:eastAsia="en-US"/>
        </w:rPr>
        <w:t xml:space="preserve"> --  Policy activity continues to increase as MTBE water contamination issues receive more public attention.  A number of bills have been introduced in Congress that propose to remove the Clean Air Act's 2% oxygenate mandate, ban or phase out MTBE, or a combination of both.  The Clinton Administration recently announced its intent to regulate MTBE as a toxic substance, and work with Congress to phase out MTBE and support renewable fuels (ethanol).  And individual states have announced plans to limit MTBE use, to the extent they can do so without a change in federal law.</w:t>
      </w:r>
    </w:p>
    <w:p>
      <w:pPr>
        <w:pStyle w:val="Normal"/>
        <w:spacing w:lineRule="atLeast" w:line="240"/>
        <w:rPr>
          <w:rFonts w:ascii="Times New Roman" w:hAnsi="Times New Roman" w:cs="Times New Roman"/>
          <w:color w:val="000000"/>
          <w:lang w:eastAsia="en-US"/>
        </w:rPr>
      </w:pPr>
      <w:r>
        <w:rPr>
          <w:rFonts w:cs="Times New Roman" w:ascii="Times New Roman" w:hAnsi="Times New Roman"/>
          <w:color w:val="000000"/>
          <w:lang w:eastAsia="en-US"/>
        </w:rPr>
      </w:r>
    </w:p>
    <w:p>
      <w:pPr>
        <w:pStyle w:val="BodyTextIndent"/>
        <w:rPr>
          <w:rFonts w:ascii="Times New Roman" w:hAnsi="Times New Roman" w:cs="Times New Roman"/>
        </w:rPr>
      </w:pPr>
      <w:r>
        <w:rPr>
          <w:rFonts w:cs="Times New Roman" w:ascii="Times New Roman" w:hAnsi="Times New Roman"/>
        </w:rPr>
        <w:t xml:space="preserve">The politics on the MTBE issue are extremely complex:   Refiners want the flexibility to produce RFG without oxygenates, so they favor a removal of the 2% mandate.  Ethanol does not want removal of the 2% standard (as that would harm ethanol the same as MTBE), rather they want an complete MTBE ban.  MTBE producers want neither.  Environmentalists and politicians are concerned about MTBE water contamination, but have no good solutions as to how to phase out the product while preserving the clean air benefits derived from MTBE use.  </w:t>
      </w:r>
    </w:p>
    <w:p>
      <w:pPr>
        <w:pStyle w:val="Normal"/>
        <w:spacing w:lineRule="atLeast" w:line="240"/>
        <w:rPr>
          <w:rFonts w:ascii="Times New Roman" w:hAnsi="Times New Roman" w:cs="Times New Roman"/>
          <w:color w:val="000000"/>
          <w:lang w:eastAsia="en-US"/>
        </w:rPr>
      </w:pPr>
      <w:r>
        <w:rPr>
          <w:rFonts w:cs="Times New Roman" w:ascii="Times New Roman" w:hAnsi="Times New Roman"/>
          <w:color w:val="000000"/>
          <w:lang w:eastAsia="en-US"/>
        </w:rPr>
      </w:r>
    </w:p>
    <w:p>
      <w:pPr>
        <w:pStyle w:val="BodyTextIndent"/>
        <w:rPr>
          <w:rFonts w:ascii="Times New Roman" w:hAnsi="Times New Roman" w:cs="Times New Roman"/>
        </w:rPr>
      </w:pPr>
      <w:r>
        <w:rPr>
          <w:rFonts w:cs="Times New Roman" w:ascii="Times New Roman" w:hAnsi="Times New Roman"/>
        </w:rPr>
        <w:t>Consequently, Congress has not been able to resolve the issue quickly.  No member of Congress has a workable plan for moving legislation forward that can achieve the support of the right mix of environmentalists, refiners, ethanol, and MTBE industry.   The complexity of the issue itself has caused delayed decision making.  Also, Congress and EPA are looking to each other to develop a solution to the MTBE dilemma, which has created somewhat of a stalemate.  The Clinton Administration’s proposal to regulate MTBE as a toxic substance has not been well received by Congress or industry, and is not realistically achievable in the near term, but has kept the debate over MTBE alive as an election-year issue.</w:t>
      </w:r>
    </w:p>
    <w:p>
      <w:pPr>
        <w:pStyle w:val="Normal"/>
        <w:spacing w:lineRule="atLeast" w:line="240"/>
        <w:rPr>
          <w:rFonts w:ascii="Times New Roman" w:hAnsi="Times New Roman" w:cs="Times New Roman"/>
          <w:color w:val="000000"/>
          <w:lang w:eastAsia="en-US"/>
        </w:rPr>
      </w:pPr>
      <w:r>
        <w:rPr>
          <w:rFonts w:cs="Times New Roman" w:ascii="Times New Roman" w:hAnsi="Times New Roman"/>
          <w:color w:val="000000"/>
          <w:lang w:eastAsia="en-US"/>
        </w:rPr>
      </w:r>
    </w:p>
    <w:p>
      <w:pPr>
        <w:pStyle w:val="Normal"/>
        <w:numPr>
          <w:ilvl w:val="0"/>
          <w:numId w:val="3"/>
        </w:numPr>
        <w:spacing w:lineRule="atLeast" w:line="240"/>
        <w:rPr>
          <w:rFonts w:ascii="Times New Roman" w:hAnsi="Times New Roman" w:cs="Times New Roman"/>
          <w:color w:val="000000"/>
          <w:lang w:eastAsia="en-US"/>
        </w:rPr>
      </w:pPr>
      <w:r>
        <w:rPr>
          <w:rFonts w:cs="Times New Roman" w:ascii="Times New Roman" w:hAnsi="Times New Roman"/>
          <w:color w:val="000000"/>
          <w:u w:val="single"/>
          <w:lang w:eastAsia="en-US"/>
        </w:rPr>
        <w:t>Enron Stranded Cost/Liability Protection Proposal</w:t>
      </w:r>
      <w:r>
        <w:rPr>
          <w:rFonts w:cs="Times New Roman" w:ascii="Times New Roman" w:hAnsi="Times New Roman"/>
          <w:color w:val="000000"/>
          <w:lang w:eastAsia="en-US"/>
        </w:rPr>
        <w:t xml:space="preserve"> -- The majority of the MTBE producer community is expending a great deal of resources to stop any legislation, regulation, or other action that would ban MTBE or harm MTBE markets.  However, it has become increasingly apparent that some form of action to limit MTBE use within the next few years is inevitable.   </w:t>
      </w:r>
    </w:p>
    <w:p>
      <w:pPr>
        <w:pStyle w:val="Normal"/>
        <w:spacing w:lineRule="atLeast" w:line="240"/>
        <w:rPr>
          <w:rFonts w:ascii="Times New Roman" w:hAnsi="Times New Roman" w:cs="Times New Roman"/>
          <w:color w:val="000000"/>
          <w:lang w:eastAsia="en-US"/>
        </w:rPr>
      </w:pPr>
      <w:r>
        <w:rPr>
          <w:rFonts w:cs="Times New Roman" w:ascii="Times New Roman" w:hAnsi="Times New Roman"/>
          <w:color w:val="000000"/>
          <w:lang w:eastAsia="en-US"/>
        </w:rPr>
      </w:r>
    </w:p>
    <w:p>
      <w:pPr>
        <w:pStyle w:val="BodyTextIndent"/>
        <w:rPr>
          <w:rFonts w:ascii="Times New Roman" w:hAnsi="Times New Roman" w:cs="Times New Roman"/>
        </w:rPr>
      </w:pPr>
      <w:r>
        <w:rPr>
          <w:rFonts w:cs="Times New Roman" w:ascii="Times New Roman" w:hAnsi="Times New Roman"/>
        </w:rPr>
        <w:t>From early on in the debate, Enron has explored the issue of stranded cost recovery for U.S. MTBE production facilities, particularly given Enron’s substantial write-down of the MTBE asset which has signaled our to move away from MTBE production. Also, as the potential for lawsuits over MTBE water contamination has greatly increased, it has become necessary to explore options for limiting MTBE producer liability.  We have developed a comprehensive package of amendments and explanatory white paper that can serve as a starting point for consideration of these issues, and have intentionally drafted these materials to try and capture as much value as possible for Enron (probably to the point where it will need to be scaled back somewhat, to be realistic).</w:t>
      </w:r>
    </w:p>
    <w:p>
      <w:pPr>
        <w:pStyle w:val="Normal"/>
        <w:spacing w:lineRule="atLeast" w:line="240"/>
        <w:ind w:start="360" w:end="0"/>
        <w:rPr>
          <w:rFonts w:ascii="Times New Roman" w:hAnsi="Times New Roman" w:cs="Times New Roman"/>
          <w:color w:val="000000"/>
          <w:lang w:eastAsia="en-US"/>
        </w:rPr>
      </w:pPr>
      <w:r>
        <w:rPr>
          <w:rFonts w:cs="Times New Roman" w:ascii="Times New Roman" w:hAnsi="Times New Roman"/>
          <w:color w:val="000000"/>
          <w:lang w:eastAsia="en-US"/>
        </w:rPr>
      </w:r>
    </w:p>
    <w:p>
      <w:pPr>
        <w:pStyle w:val="BodyTextIndent2"/>
        <w:ind w:start="360" w:end="0"/>
        <w:rPr>
          <w:rFonts w:ascii="Times New Roman" w:hAnsi="Times New Roman" w:cs="Times New Roman"/>
        </w:rPr>
      </w:pPr>
      <w:r>
        <w:rPr>
          <w:rFonts w:cs="Times New Roman" w:ascii="Times New Roman" w:hAnsi="Times New Roman"/>
        </w:rPr>
        <w:t xml:space="preserve">Strategically, these amendments can be characterized as "exit strategies" that can be offered as reasonable compromises that U.S. MTBE producers are willing to accept if legislation that bans MTBE or harms MTBE markets is going to pass.   As part of the overall negotiations over MTBE legislation, these exit strategies require quiet, gradual consensus building – they need to be offered at the right time in the process and under the right political circumstances so as to gain acceptance as a "win-win" for legislators and industry.  Accordingly, we have been very deliberative and selective about circulating the Enron language to legislators and their staff.   We have not yet shared the language with industry colleagues or many policy makers, but have been laying the necessary groundwork for the stranded concept to gain acceptance with key members of Congress who can at the right juncture fold it into a larger legislative package.   </w:t>
      </w:r>
    </w:p>
    <w:p>
      <w:pPr>
        <w:pStyle w:val="BodyTextIndent2"/>
        <w:ind w:start="360" w:end="0"/>
        <w:rPr>
          <w:rFonts w:ascii="Times New Roman" w:hAnsi="Times New Roman" w:cs="Times New Roman"/>
        </w:rPr>
      </w:pPr>
      <w:r>
        <w:rPr>
          <w:rFonts w:cs="Times New Roman" w:ascii="Times New Roman" w:hAnsi="Times New Roman"/>
        </w:rPr>
      </w:r>
    </w:p>
    <w:p>
      <w:pPr>
        <w:pStyle w:val="BodyTextIndent2"/>
        <w:ind w:start="360" w:end="0"/>
        <w:rPr>
          <w:rFonts w:ascii="Times New Roman" w:hAnsi="Times New Roman" w:cs="Times New Roman"/>
        </w:rPr>
      </w:pPr>
      <w:r>
        <w:rPr>
          <w:rFonts w:cs="Times New Roman" w:ascii="Times New Roman" w:hAnsi="Times New Roman"/>
        </w:rPr>
        <w:t>I will continue to rely on the expertise of Cynthia Sandherr and the Federal Legislative Affairs team to help position us strategically throughout the process.  Cynthia and I will be meeting early next week, and will send a memo shortly to provide some more detailed thoughts about specific strategic elements needed to move forward and some of the decisions we may face.</w:t>
      </w:r>
    </w:p>
    <w:p>
      <w:pPr>
        <w:pStyle w:val="Normal"/>
        <w:spacing w:lineRule="atLeast" w:line="240"/>
        <w:rPr>
          <w:rFonts w:ascii="Times New Roman" w:hAnsi="Times New Roman" w:cs="Times New Roman"/>
          <w:color w:val="000000"/>
          <w:lang w:eastAsia="en-US"/>
        </w:rPr>
      </w:pPr>
      <w:r>
        <w:rPr>
          <w:rFonts w:cs="Times New Roman" w:ascii="Times New Roman" w:hAnsi="Times New Roman"/>
          <w:color w:val="000000"/>
          <w:lang w:eastAsia="en-US"/>
        </w:rPr>
      </w:r>
    </w:p>
    <w:p>
      <w:pPr>
        <w:pStyle w:val="Normal"/>
        <w:numPr>
          <w:ilvl w:val="0"/>
          <w:numId w:val="3"/>
        </w:numPr>
        <w:spacing w:lineRule="atLeast" w:line="240"/>
        <w:rPr>
          <w:rFonts w:ascii="Times New Roman" w:hAnsi="Times New Roman" w:cs="Times New Roman"/>
          <w:color w:val="000000"/>
          <w:lang w:eastAsia="en-US"/>
        </w:rPr>
      </w:pPr>
      <w:r>
        <w:rPr>
          <w:rFonts w:cs="Times New Roman" w:ascii="Times New Roman" w:hAnsi="Times New Roman"/>
          <w:color w:val="000000"/>
          <w:u w:val="single"/>
          <w:lang w:eastAsia="en-US"/>
        </w:rPr>
        <w:t>Applicability of stranded costs to the sale of MTBE assets</w:t>
      </w:r>
      <w:r>
        <w:rPr>
          <w:rFonts w:cs="Times New Roman" w:ascii="Times New Roman" w:hAnsi="Times New Roman"/>
          <w:color w:val="000000"/>
          <w:lang w:eastAsia="en-US"/>
        </w:rPr>
        <w:t xml:space="preserve"> -- As defined in our proposal:  </w:t>
      </w:r>
    </w:p>
    <w:p>
      <w:pPr>
        <w:pStyle w:val="Normal"/>
        <w:spacing w:lineRule="atLeast" w:line="240"/>
        <w:rPr>
          <w:rFonts w:ascii="Times New Roman" w:hAnsi="Times New Roman" w:cs="Times New Roman"/>
          <w:color w:val="000000"/>
          <w:lang w:eastAsia="en-US"/>
        </w:rPr>
      </w:pPr>
      <w:r>
        <w:rPr>
          <w:rFonts w:cs="Times New Roman" w:ascii="Times New Roman" w:hAnsi="Times New Roman"/>
          <w:color w:val="000000"/>
          <w:lang w:eastAsia="en-US"/>
        </w:rPr>
      </w:r>
    </w:p>
    <w:p>
      <w:pPr>
        <w:pStyle w:val="Normal"/>
        <w:spacing w:lineRule="atLeast" w:line="240"/>
        <w:ind w:start="720" w:end="0"/>
        <w:rPr/>
      </w:pPr>
      <w:r>
        <w:rPr>
          <w:rFonts w:cs="Times New Roman" w:ascii="Times New Roman" w:hAnsi="Times New Roman"/>
          <w:color w:val="000000"/>
          <w:lang w:eastAsia="en-US"/>
        </w:rPr>
        <w:t>‘</w:t>
      </w:r>
      <w:r>
        <w:rPr>
          <w:rFonts w:cs="Times New Roman" w:ascii="Times New Roman" w:hAnsi="Times New Roman"/>
          <w:color w:val="000000"/>
          <w:lang w:eastAsia="en-US"/>
        </w:rPr>
        <w:t xml:space="preserve">MTBE Stranded Cost’ means any legitimate, prudent and verifiable depreciated book cost incurred for the construction or renovation of an MTBE Facility (i) on or after November 15, 1990 (the date of enactment of 1990 amendments to the Clean Air Act); (ii) in service on January 1, 1997 (or other reasonable date, prior to the environmental controversy, when a viable MTBE Facility would still have been operating); (iii) for which the owner had a reasonable expectation that the Facility would continue to produce MTBE, in approximately the same quantities as the average of its production for 1996, 1997 and 1998, until 2005; (iv) net of the salvage value of the MTBE Facility.  </w:t>
      </w:r>
      <w:r>
        <w:rPr>
          <w:rFonts w:cs="Times New Roman" w:ascii="Times New Roman" w:hAnsi="Times New Roman"/>
          <w:b/>
          <w:i/>
          <w:color w:val="000000"/>
          <w:lang w:eastAsia="en-US"/>
        </w:rPr>
        <w:t>In the case of an owner which purchased the MTBE Facility from another person, the depreciated purchase price paid by the owner for the MTBE Facility shall be substituted for the construction cost of the MTBE Facility.</w:t>
      </w:r>
      <w:r>
        <w:rPr>
          <w:rFonts w:cs="Times New Roman" w:ascii="Times New Roman" w:hAnsi="Times New Roman"/>
          <w:color w:val="000000"/>
          <w:lang w:eastAsia="en-US"/>
        </w:rPr>
        <w:t xml:space="preserve">"   </w:t>
      </w:r>
    </w:p>
    <w:p>
      <w:pPr>
        <w:pStyle w:val="Normal"/>
        <w:spacing w:lineRule="atLeast" w:line="240"/>
        <w:rPr>
          <w:rFonts w:ascii="Times New Roman" w:hAnsi="Times New Roman" w:cs="Times New Roman"/>
          <w:color w:val="000000"/>
          <w:lang w:eastAsia="en-US"/>
        </w:rPr>
      </w:pPr>
      <w:r>
        <w:rPr>
          <w:rFonts w:cs="Times New Roman" w:ascii="Times New Roman" w:hAnsi="Times New Roman"/>
          <w:color w:val="000000"/>
          <w:lang w:eastAsia="en-US"/>
        </w:rPr>
      </w:r>
    </w:p>
    <w:p>
      <w:pPr>
        <w:pStyle w:val="BodyTextIndent"/>
        <w:rPr>
          <w:rFonts w:ascii="Times New Roman" w:hAnsi="Times New Roman" w:cs="Times New Roman"/>
        </w:rPr>
      </w:pPr>
      <w:r>
        <w:rPr>
          <w:rFonts w:cs="Times New Roman" w:ascii="Times New Roman" w:hAnsi="Times New Roman"/>
        </w:rPr>
        <w:t>In the event that Enron is able to sell the MTBE asset, our proposal contemplates that the buyer would still be able to recover stranded costs.</w:t>
      </w:r>
    </w:p>
    <w:p>
      <w:pPr>
        <w:pStyle w:val="Normal"/>
        <w:spacing w:lineRule="atLeast" w:line="240"/>
        <w:rPr>
          <w:rFonts w:ascii="Times New Roman" w:hAnsi="Times New Roman" w:cs="Times New Roman"/>
          <w:color w:val="000000"/>
          <w:lang w:eastAsia="en-US"/>
        </w:rPr>
      </w:pPr>
      <w:r>
        <w:rPr>
          <w:rFonts w:cs="Times New Roman" w:ascii="Times New Roman" w:hAnsi="Times New Roman"/>
          <w:color w:val="000000"/>
          <w:lang w:eastAsia="en-US"/>
        </w:rPr>
      </w:r>
    </w:p>
    <w:p>
      <w:pPr>
        <w:pStyle w:val="Normal"/>
        <w:numPr>
          <w:ilvl w:val="0"/>
          <w:numId w:val="3"/>
        </w:numPr>
        <w:rPr>
          <w:rFonts w:ascii="Times New Roman" w:hAnsi="Times New Roman" w:cs="Times New Roman"/>
        </w:rPr>
      </w:pPr>
      <w:r>
        <w:rPr>
          <w:rFonts w:cs="Times New Roman" w:ascii="Times New Roman" w:hAnsi="Times New Roman"/>
          <w:color w:val="000000"/>
          <w:u w:val="single"/>
          <w:lang w:eastAsia="en-US"/>
        </w:rPr>
        <w:t>Applicability of liability protection to the sale of MTBE assets</w:t>
      </w:r>
      <w:r>
        <w:rPr>
          <w:rFonts w:cs="Times New Roman" w:ascii="Times New Roman" w:hAnsi="Times New Roman"/>
          <w:color w:val="000000"/>
          <w:lang w:eastAsia="en-US"/>
        </w:rPr>
        <w:t xml:space="preserve"> –  As drafted, our proposal would apply to </w:t>
      </w:r>
      <w:r>
        <w:rPr>
          <w:rFonts w:cs="Times New Roman" w:ascii="Times New Roman" w:hAnsi="Times New Roman"/>
        </w:rPr>
        <w:t>all claims brought against MTBE Producers on or after the effective date of the legislation.  In terms of sale of the MTBE asset, the extent to which liability would transfer to the buyer of the asset would be based upon whatever indemnity is specified in the terms of the sale agreement.  However, if the liability protection provisions of this legislation are enacted, the buyer (or the seller, depending on the indemnity arrangement) would be able to invoke the protections of the legislation to transfer liability back to the government.</w:t>
      </w:r>
    </w:p>
    <w:p>
      <w:pPr>
        <w:pStyle w:val="Normal"/>
        <w:spacing w:lineRule="atLeast" w:line="240"/>
        <w:rPr>
          <w:rFonts w:ascii="Times New Roman" w:hAnsi="Times New Roman" w:cs="Times New Roman"/>
          <w:color w:val="000000"/>
          <w:lang w:eastAsia="en-US"/>
        </w:rPr>
      </w:pPr>
      <w:r>
        <w:rPr>
          <w:rFonts w:cs="Times New Roman" w:ascii="Times New Roman" w:hAnsi="Times New Roman"/>
          <w:color w:val="000000"/>
          <w:lang w:eastAsia="en-US"/>
        </w:rPr>
      </w:r>
    </w:p>
    <w:p>
      <w:pPr>
        <w:pStyle w:val="Normal"/>
        <w:numPr>
          <w:ilvl w:val="0"/>
          <w:numId w:val="3"/>
        </w:numPr>
        <w:spacing w:lineRule="atLeast" w:line="240"/>
        <w:rPr>
          <w:rFonts w:ascii="Times New Roman" w:hAnsi="Times New Roman" w:cs="Times New Roman"/>
          <w:color w:val="000000"/>
          <w:lang w:eastAsia="en-US"/>
        </w:rPr>
      </w:pPr>
      <w:r>
        <w:rPr>
          <w:rFonts w:cs="Times New Roman" w:ascii="Times New Roman" w:hAnsi="Times New Roman"/>
          <w:color w:val="000000"/>
          <w:u w:val="single"/>
          <w:lang w:eastAsia="en-US"/>
        </w:rPr>
        <w:t>Outlook</w:t>
      </w:r>
      <w:r>
        <w:rPr>
          <w:rFonts w:cs="Times New Roman" w:ascii="Times New Roman" w:hAnsi="Times New Roman"/>
          <w:color w:val="000000"/>
          <w:lang w:eastAsia="en-US"/>
        </w:rPr>
        <w:t xml:space="preserve"> -- Steve Kean asked me to assign a percentage to a) the likelihood that legislation will pass this year, b) if legislation does pass, the likelihood that stranded cost provisions will be included, and c) if legislation does pass, the likelihood that liability protection provisions will be included.  Such predictions are difficult, given the sudden political changes that can occur in an election year. (So, I reserve the right to revise these estimates if a major change in the political landscape occurs.)</w:t>
      </w:r>
    </w:p>
    <w:p>
      <w:pPr>
        <w:pStyle w:val="Normal"/>
        <w:spacing w:lineRule="atLeast" w:line="240"/>
        <w:rPr>
          <w:rFonts w:ascii="Times New Roman" w:hAnsi="Times New Roman" w:cs="Times New Roman"/>
          <w:color w:val="000000"/>
          <w:lang w:eastAsia="en-US"/>
        </w:rPr>
      </w:pPr>
      <w:r>
        <w:rPr>
          <w:rFonts w:cs="Times New Roman" w:ascii="Times New Roman" w:hAnsi="Times New Roman"/>
          <w:color w:val="000000"/>
          <w:lang w:eastAsia="en-US"/>
        </w:rPr>
      </w:r>
    </w:p>
    <w:p>
      <w:pPr>
        <w:pStyle w:val="BodyTextIndent"/>
        <w:numPr>
          <w:ilvl w:val="0"/>
          <w:numId w:val="2"/>
        </w:numPr>
        <w:rPr>
          <w:rFonts w:ascii="Times New Roman" w:hAnsi="Times New Roman" w:cs="Times New Roman"/>
        </w:rPr>
      </w:pPr>
      <w:r>
        <w:rPr>
          <w:rFonts w:cs="Times New Roman" w:ascii="Times New Roman" w:hAnsi="Times New Roman"/>
        </w:rPr>
        <w:t>At this point in time, I would assign only about a 25% chance that legislation will pass in 2000.  This is based on the Congress’ current state of confusion, lack of clear solutions, and lack of political consensus on how to proceed on the RFG/MTBE issue.  In addition, Congress has very limited amounts of time during which to consider legislation in this abbreviated election year.  The next few months are critical in determining whether legislation will be able to move through the process, so we will have a better indication as to the chances toward the end of May or early this summer.   There is a greater likelihood that the issue will be resolved after the 2000 elections in the 107</w:t>
      </w:r>
      <w:r>
        <w:rPr>
          <w:rFonts w:cs="Times New Roman" w:ascii="Times New Roman" w:hAnsi="Times New Roman"/>
          <w:vertAlign w:val="superscript"/>
        </w:rPr>
        <w:t>th</w:t>
      </w:r>
      <w:r>
        <w:rPr>
          <w:rFonts w:cs="Times New Roman" w:ascii="Times New Roman" w:hAnsi="Times New Roman"/>
        </w:rPr>
        <w:t xml:space="preserve"> Congress.</w:t>
      </w:r>
    </w:p>
    <w:p>
      <w:pPr>
        <w:pStyle w:val="BodyTextIndent"/>
        <w:rPr>
          <w:rFonts w:ascii="Times New Roman" w:hAnsi="Times New Roman" w:cs="Times New Roman"/>
        </w:rPr>
      </w:pPr>
      <w:r>
        <w:rPr>
          <w:rFonts w:cs="Times New Roman" w:ascii="Times New Roman" w:hAnsi="Times New Roman"/>
        </w:rPr>
      </w:r>
    </w:p>
    <w:p>
      <w:pPr>
        <w:pStyle w:val="BodyTextIndent"/>
        <w:numPr>
          <w:ilvl w:val="0"/>
          <w:numId w:val="2"/>
        </w:numPr>
        <w:rPr>
          <w:rFonts w:ascii="Times New Roman" w:hAnsi="Times New Roman" w:cs="Times New Roman"/>
        </w:rPr>
      </w:pPr>
      <w:r>
        <w:rPr>
          <w:rFonts w:cs="Times New Roman" w:ascii="Times New Roman" w:hAnsi="Times New Roman"/>
        </w:rPr>
        <w:t>If and when MTBE legislation is considered and passes, I believe that some form of stranded cost language has about a 50% chance of being included.  I do not expect that we would receive the full reimbursement contemplated in our first draft.   Enron’s stranded costs total $666 million -- I think that $200 or 300 million is probably a more reasonable expectation.  We will continue to aim high, however. I would point out a few substantial hurdles:  First, because stranded cost recovery would only benefit a few U.S. companies, it may not provide any incentive for producers with substantial non-U.S. MTBE operations to compromise and stop their efforts to kill the various legislation.   Second, the greatest unresolved question in our stranded cost language is -- where does the money come from?   Currently, our draft language directs EPA to determine stranded costs and reimburse companies, but does not designate a funding source.  As the price tag could be sizeable (several billion dollars) it may be hard to find an appropriate place in the EPA budget or elsewhere to fund stranded costs, particularly in this time of budget cutting and deficit reduction.  Third, there may be political resistance to giving a few select producers U.S. taxpayer dollars to exit the MTBE business, especially given the widespread negative perception of MTBE.</w:t>
      </w:r>
    </w:p>
    <w:p>
      <w:pPr>
        <w:pStyle w:val="Normal"/>
        <w:spacing w:lineRule="atLeast" w:line="240"/>
        <w:rPr>
          <w:rFonts w:ascii="Times New Roman" w:hAnsi="Times New Roman" w:cs="Times New Roman"/>
          <w:color w:val="000000"/>
          <w:lang w:eastAsia="en-US"/>
        </w:rPr>
      </w:pPr>
      <w:r>
        <w:rPr>
          <w:rFonts w:cs="Times New Roman" w:ascii="Times New Roman" w:hAnsi="Times New Roman"/>
          <w:color w:val="000000"/>
          <w:lang w:eastAsia="en-US"/>
        </w:rPr>
      </w:r>
    </w:p>
    <w:p>
      <w:pPr>
        <w:pStyle w:val="BodyTextIndent"/>
        <w:numPr>
          <w:ilvl w:val="0"/>
          <w:numId w:val="2"/>
        </w:numPr>
        <w:rPr>
          <w:rFonts w:ascii="Times New Roman" w:hAnsi="Times New Roman" w:cs="Times New Roman"/>
        </w:rPr>
      </w:pPr>
      <w:r>
        <w:rPr>
          <w:rFonts w:cs="Times New Roman" w:ascii="Times New Roman" w:hAnsi="Times New Roman"/>
        </w:rPr>
        <w:t>Some form of liability protection provisions also have about a 50% chance of being included.   This part of our proposal may indeed be more valuable to Enron in the long term, as the number of lawsuits and size of potential judgements against refiners and MTBE producers could be extremely large.  As with stranded costs, a substantial hurdle could be the political and perception problems with making the U.S. government (and taxpayer) liable for MTBE contamination claims.</w:t>
      </w:r>
    </w:p>
    <w:p>
      <w:pPr>
        <w:pStyle w:val="Normal"/>
        <w:spacing w:lineRule="atLeast" w:line="240"/>
        <w:rPr>
          <w:rFonts w:ascii="Times New Roman" w:hAnsi="Times New Roman" w:cs="Times New Roman"/>
          <w:color w:val="000000"/>
          <w:lang w:eastAsia="en-US"/>
        </w:rPr>
      </w:pPr>
      <w:r>
        <w:rPr>
          <w:rFonts w:cs="Times New Roman" w:ascii="Times New Roman" w:hAnsi="Times New Roman"/>
          <w:color w:val="000000"/>
          <w:lang w:eastAsia="en-US"/>
        </w:rPr>
      </w:r>
    </w:p>
    <w:p>
      <w:pPr>
        <w:pStyle w:val="Normal"/>
        <w:spacing w:lineRule="atLeast" w:line="240"/>
        <w:rPr>
          <w:rFonts w:ascii="Times New Roman" w:hAnsi="Times New Roman" w:cs="Times New Roman"/>
          <w:color w:val="000000"/>
          <w:lang w:eastAsia="en-US"/>
        </w:rPr>
      </w:pPr>
      <w:r>
        <w:rPr>
          <w:rFonts w:cs="Times New Roman" w:ascii="Times New Roman" w:hAnsi="Times New Roman"/>
          <w:color w:val="000000"/>
          <w:lang w:eastAsia="en-US"/>
        </w:rPr>
        <w:t>I will keep you posted as the process continues, and am happy to answer any questions or provide additional information at any time.  My direct dial in Washington, D.C. is 202-466-9157, and my pager number is 888-502-6856.</w:t>
      </w:r>
    </w:p>
    <w:sectPr>
      <w:footerReference w:type="default" r:id="rId2"/>
      <w:footerReference w:type="first" r:id="rId3"/>
      <w:type w:val="nextPage"/>
      <w:pgSz w:w="12240" w:h="15840"/>
      <w:pgMar w:left="1440" w:right="1440" w:gutter="0" w:header="0" w:top="1152" w:footer="720" w:bottom="1152"/>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Georgia">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84455" cy="173355"/>
              <wp:effectExtent l="0" t="0" r="0" b="0"/>
              <wp:wrapSquare wrapText="bothSides"/>
              <wp:docPr id="1" name="Frame1"/>
              <a:graphic xmlns:a="http://schemas.openxmlformats.org/drawingml/2006/main">
                <a:graphicData uri="http://schemas.microsoft.com/office/word/2010/wordprocessingShape">
                  <wps:wsp>
                    <wps:cNvSpPr txBox="1"/>
                    <wps:spPr>
                      <a:xfrm>
                        <a:off x="0" y="0"/>
                        <a:ext cx="84455" cy="17335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65pt;height:13.65pt;mso-wrap-distance-left:0pt;mso-wrap-distance-right:0pt;mso-wrap-distance-top:0pt;mso-wrap-distance-bottom:0pt;margin-top:0.05pt;mso-position-vertical-relative:text;margin-left:230.7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720"/>
        </w:tabs>
        <w:ind w:start="720" w:hanging="360"/>
      </w:pPr>
      <w:rPr/>
    </w:lvl>
  </w:abstractNum>
  <w:abstractNum w:abstractNumId="3">
    <w:lvl w:ilvl="0">
      <w:start w:val="1"/>
      <w:numFmt w:val="decimal"/>
      <w:lvlText w:val="%1."/>
      <w:lvlJc w:val="start"/>
      <w:pPr>
        <w:tabs>
          <w:tab w:val="num" w:pos="360"/>
        </w:tabs>
        <w:ind w:start="36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9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Georgia" w:hAnsi="Georgia" w:eastAsia="Times New Roman" w:cs="Georgia"/>
      <w:color w:val="auto"/>
      <w:sz w:val="24"/>
      <w:szCs w:val="20"/>
      <w:lang w:val="en-US" w:eastAsia="zh-CN" w:bidi="hi-IN"/>
    </w:rPr>
  </w:style>
  <w:style w:type="paragraph" w:styleId="Heading1">
    <w:name w:val="heading 1"/>
    <w:basedOn w:val="Normal"/>
    <w:next w:val="Normal"/>
    <w:qFormat/>
    <w:pPr>
      <w:keepNext w:val="true"/>
      <w:numPr>
        <w:ilvl w:val="0"/>
        <w:numId w:val="1"/>
      </w:numPr>
      <w:outlineLvl w:val="0"/>
    </w:pPr>
    <w:rPr>
      <w:b/>
      <w:sz w:val="28"/>
    </w:rPr>
  </w:style>
  <w:style w:type="paragraph" w:styleId="Heading2">
    <w:name w:val="heading 2"/>
    <w:basedOn w:val="Normal"/>
    <w:next w:val="Normal"/>
    <w:qFormat/>
    <w:pPr>
      <w:keepNext w:val="true"/>
      <w:numPr>
        <w:ilvl w:val="1"/>
        <w:numId w:val="1"/>
      </w:numPr>
      <w:spacing w:lineRule="atLeast" w:line="240"/>
      <w:jc w:val="center"/>
      <w:outlineLvl w:val="1"/>
    </w:pPr>
    <w:rPr>
      <w:b/>
      <w:color w:val="000000"/>
      <w:lang w:eastAsia="en-US"/>
    </w:rPr>
  </w:style>
  <w:style w:type="character" w:styleId="WW8Num1z0">
    <w:name w:val="WW8Num1z0"/>
    <w:qFormat/>
    <w:rPr/>
  </w:style>
  <w:style w:type="character" w:styleId="WW8Num2z0">
    <w:name w:val="WW8Num2z0"/>
    <w:qFormat/>
    <w:rPr>
      <w:u w:val="single"/>
    </w:rPr>
  </w:style>
  <w:style w:type="character" w:styleId="WW8Num3z0">
    <w:name w:val="WW8Num3z0"/>
    <w:qFormat/>
    <w:rPr>
      <w:u w:val="single"/>
    </w:rPr>
  </w:style>
  <w:style w:type="character" w:styleId="WW8Num5z0">
    <w:name w:val="WW8Num5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240"/>
    </w:pPr>
    <w:rPr>
      <w:rFonts w:ascii="Times New Roman" w:hAnsi="Times New Roman" w:cs="Times New Roman"/>
      <w:color w:val="000000"/>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spacing w:lineRule="atLeast" w:line="240"/>
      <w:ind w:hanging="0" w:start="360" w:end="0"/>
    </w:pPr>
    <w:rPr>
      <w:color w:val="000000"/>
      <w:lang w:eastAsia="en-US"/>
    </w:rPr>
  </w:style>
  <w:style w:type="paragraph" w:styleId="BodyTextIndent2">
    <w:name w:val="Body Text Indent 2"/>
    <w:basedOn w:val="Normal"/>
    <w:qFormat/>
    <w:pPr>
      <w:spacing w:lineRule="atLeast" w:line="240"/>
      <w:ind w:hanging="0" w:start="720" w:end="0"/>
    </w:pPr>
    <w:rPr>
      <w:color w:val="000000"/>
      <w:lang w:eastAsia="en-U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Enron Memo</Template>
  <TotalTime>117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2000-03-30T16:56:00Z</dcterms:created>
  <dc:creator>Jeffrey Keeler</dc:creator>
  <dc:description/>
  <dc:language>en-CA</dc:language>
  <cp:lastModifiedBy>Jeffrey Keeler</cp:lastModifiedBy>
  <cp:lastPrinted>2000-03-31T00:56:00Z</cp:lastPrinted>
  <dcterms:modified xsi:type="dcterms:W3CDTF">2000-03-31T11:56:00Z</dcterms:modified>
  <cp:revision>5</cp:revision>
  <dc:subject/>
  <dc:title>MEMORANDUM</dc:title>
</cp:coreProperties>
</file>