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3">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spacing w:before="600" w:after="120"/>
        <w:jc w:val="center"/>
        <w:rPr>
          <w:spacing w:val="110"/>
          <w:sz w:val="36"/>
          <w:u w:val="single"/>
        </w:rPr>
      </w:pPr>
      <w:r>
        <w:rPr>
          <w:spacing w:val="110"/>
          <w:sz w:val="36"/>
          <w:u w:val="single"/>
        </w:rPr>
        <w:t>DRAFT</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680085" cy="965200"/>
                <wp:effectExtent l="0" t="0" r="0" b="0"/>
                <wp:wrapTopAndBottom/>
                <wp:docPr id="2" name="Frame2"/>
                <a:graphic xmlns:a="http://schemas.openxmlformats.org/drawingml/2006/main">
                  <a:graphicData uri="http://schemas.microsoft.com/office/word/2010/wordprocessingShape">
                    <wps:wsp>
                      <wps:cNvSpPr txBox="1"/>
                      <wps:spPr>
                        <a:xfrm>
                          <a:off x="0" y="0"/>
                          <a:ext cx="680085" cy="965200"/>
                        </a:xfrm>
                        <a:prstGeom prst="rect"/>
                        <a:solidFill>
                          <a:srgbClr val="FFFFFF">
                            <a:alpha val="0"/>
                          </a:srgbClr>
                        </a:solidFill>
                      </wps:spPr>
                      <wps:txbx>
                        <w:txbxContent>
                          <w:p>
                            <w:pPr>
                              <w:pStyle w:val="DirectDial"/>
                              <w:rPr/>
                            </w:pPr>
                            <w:bookmarkStart w:id="2" w:name="Sender"/>
                            <w:bookmarkEnd w:id="2"/>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3" w:name="DirectDial"/>
                            <w:bookmarkEnd w:id="3"/>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4" w:name="DirectFax"/>
                            <w:bookmarkEnd w:id="4"/>
                            <w:r>
                              <w:rPr/>
                              <w:br/>
                              <w:t xml:space="preserve">Internet: </w:t>
                            </w:r>
                            <w:r>
                              <w:rPr/>
                              <w:fldChar w:fldCharType="begin"/>
                            </w:r>
                            <w:r>
                              <w:rPr/>
                              <w:instrText xml:space="preserve"> DOCPROPERTY "EMail"</w:instrText>
                            </w:r>
                            <w:r>
                              <w:rPr/>
                              <w:fldChar w:fldCharType="separate"/>
                            </w:r>
                            <w:r>
                              <w:rPr/>
                              <w:t>dmitchel@cwt.com</w:t>
                            </w:r>
                            <w:r>
                              <w:rPr/>
                              <w:fldChar w:fldCharType="end"/>
                            </w:r>
                            <w:bookmarkStart w:id="5" w:name="EMail"/>
                            <w:bookmarkEnd w:id="5"/>
                          </w:p>
                        </w:txbxContent>
                      </wps:txbx>
                      <wps:bodyPr anchor="t" lIns="0" tIns="0" rIns="0" bIns="0">
                        <a:noAutofit/>
                      </wps:bodyPr>
                    </wps:wsp>
                  </a:graphicData>
                </a:graphic>
              </wp:anchor>
            </w:drawing>
          </mc:Choice>
          <mc:Fallback>
            <w:pict>
              <v:rect fillcolor="#FFFFFF" style="position:absolute;rotation:-0;width:53.55pt;height:76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bookmarkStart w:id="6" w:name="Sender"/>
                      <w:bookmarkEnd w:id="6"/>
                      <w:r>
                        <w:rPr/>
                        <w:fldChar w:fldCharType="begin"/>
                      </w:r>
                      <w:r>
                        <w:rPr/>
                        <w:instrText xml:space="preserve"> DOCPROPERTY "Sender"</w:instrText>
                      </w:r>
                      <w:r>
                        <w:rPr/>
                        <w:fldChar w:fldCharType="separate"/>
                      </w:r>
                      <w:r>
                        <w:rPr/>
                        <w:t>David S. Mitchell</w:t>
                      </w:r>
                      <w:r>
                        <w:rPr/>
                        <w:fldChar w:fldCharType="end"/>
                      </w:r>
                      <w:r>
                        <w:rPr/>
                        <w:br/>
                        <w:t xml:space="preserve">Direct Dial: </w:t>
                      </w:r>
                      <w:r>
                        <w:rPr/>
                        <w:fldChar w:fldCharType="begin"/>
                      </w:r>
                      <w:r>
                        <w:rPr/>
                        <w:instrText xml:space="preserve"> DOCPROPERTY "DirectDial"</w:instrText>
                      </w:r>
                      <w:r>
                        <w:rPr/>
                        <w:fldChar w:fldCharType="separate"/>
                      </w:r>
                      <w:r>
                        <w:rPr/>
                        <w:t>(212) 504-6285</w:t>
                      </w:r>
                      <w:r>
                        <w:rPr/>
                        <w:fldChar w:fldCharType="end"/>
                      </w:r>
                      <w:bookmarkStart w:id="7" w:name="DirectDial"/>
                      <w:bookmarkEnd w:id="7"/>
                      <w:r>
                        <w:rPr/>
                        <w:br/>
                        <w:t xml:space="preserve">Direct Fax: </w:t>
                      </w:r>
                      <w:r>
                        <w:rPr/>
                        <w:fldChar w:fldCharType="begin"/>
                      </w:r>
                      <w:r>
                        <w:rPr/>
                        <w:instrText xml:space="preserve"> DOCPROPERTY "DirectFax"</w:instrText>
                      </w:r>
                      <w:r>
                        <w:rPr/>
                        <w:fldChar w:fldCharType="separate"/>
                      </w:r>
                      <w:r>
                        <w:rPr/>
                        <w:t>(212) 504-5641</w:t>
                      </w:r>
                      <w:r>
                        <w:rPr/>
                        <w:fldChar w:fldCharType="end"/>
                      </w:r>
                      <w:bookmarkStart w:id="8" w:name="DirectFax"/>
                      <w:bookmarkEnd w:id="8"/>
                      <w:r>
                        <w:rPr/>
                        <w:br/>
                        <w:t xml:space="preserve">Internet: </w:t>
                      </w:r>
                      <w:r>
                        <w:rPr/>
                        <w:fldChar w:fldCharType="begin"/>
                      </w:r>
                      <w:r>
                        <w:rPr/>
                        <w:instrText xml:space="preserve"> DOCPROPERTY "EMail"</w:instrText>
                      </w:r>
                      <w:r>
                        <w:rPr/>
                        <w:fldChar w:fldCharType="separate"/>
                      </w:r>
                      <w:r>
                        <w:rPr/>
                        <w:t>dmitchel@cwt.com</w:t>
                      </w:r>
                      <w:r>
                        <w:rPr/>
                        <w:fldChar w:fldCharType="end"/>
                      </w:r>
                      <w:bookmarkStart w:id="9" w:name="EMail"/>
                      <w:bookmarkEnd w:id="9"/>
                    </w:p>
                  </w:txbxContent>
                </v:textbox>
                <w10:wrap type="topAndBottom"/>
              </v:rect>
            </w:pict>
          </mc:Fallback>
        </mc:AlternateContent>
      </w:r>
    </w:p>
    <w:p>
      <w:pPr>
        <w:pStyle w:val="Normal"/>
        <w:spacing w:before="0" w:after="120"/>
        <w:jc w:val="center"/>
        <w:rPr/>
      </w:pPr>
      <w:r>
        <w:rPr/>
        <w:t>MEMORANDUM</w:t>
      </w:r>
    </w:p>
    <w:tbl>
      <w:tblPr>
        <w:tblW w:w="9576" w:type="dxa"/>
        <w:jc w:val="start"/>
        <w:tblInd w:w="0" w:type="dxa"/>
        <w:tblLayout w:type="fixed"/>
        <w:tblCellMar>
          <w:top w:w="0" w:type="dxa"/>
          <w:start w:w="108" w:type="dxa"/>
          <w:bottom w:w="0" w:type="dxa"/>
          <w:end w:w="108" w:type="dxa"/>
        </w:tblCellMar>
      </w:tblPr>
      <w:tblGrid>
        <w:gridCol w:w="1440"/>
        <w:gridCol w:w="4068"/>
        <w:gridCol w:w="4068"/>
      </w:tblGrid>
      <w:tr>
        <w:trPr/>
        <w:tc>
          <w:tcPr>
            <w:tcW w:w="1440" w:type="dxa"/>
            <w:tcBorders/>
          </w:tcPr>
          <w:p>
            <w:pPr>
              <w:pStyle w:val="Normal"/>
              <w:spacing w:before="240" w:after="0"/>
              <w:ind w:end="144"/>
              <w:jc w:val="end"/>
              <w:rPr>
                <w:b/>
              </w:rPr>
            </w:pPr>
            <w:r>
              <w:rPr>
                <w:b/>
              </w:rPr>
              <w:t>To:</w:t>
            </w:r>
          </w:p>
        </w:tc>
        <w:tc>
          <w:tcPr>
            <w:tcW w:w="4068" w:type="dxa"/>
            <w:tcBorders/>
          </w:tcPr>
          <w:p>
            <w:pPr>
              <w:pStyle w:val="Normal"/>
              <w:spacing w:before="240" w:after="0"/>
              <w:ind w:start="144" w:end="0"/>
              <w:rPr>
                <w:lang w:val="en-CA" w:eastAsia="en-CA"/>
              </w:rPr>
            </w:pPr>
            <w:bookmarkStart w:id="10" w:name="To"/>
            <w:bookmarkEnd w:id="10"/>
            <w:r>
              <w:rPr>
                <w:lang w:val="en-CA" w:eastAsia="en-CA"/>
              </w:rPr>
              <w:t>Mark E. Taylor</w:t>
              <w:br/>
              <w:t>(Enron North America Corp.)</w:t>
            </w:r>
          </w:p>
        </w:tc>
        <w:tc>
          <w:tcPr>
            <w:tcW w:w="4068" w:type="dxa"/>
            <w:tcBorders/>
          </w:tcPr>
          <w:p>
            <w:pPr>
              <w:pStyle w:val="Normal"/>
              <w:snapToGrid w:val="false"/>
              <w:spacing w:before="240" w:after="0"/>
              <w:ind w:start="144" w:end="0"/>
              <w:rPr>
                <w:lang w:val="en-CA" w:eastAsia="en-CA"/>
              </w:rPr>
            </w:pPr>
            <w:r>
              <w:rPr>
                <w:lang w:val="en-CA" w:eastAsia="en-CA"/>
              </w:rPr>
            </w:r>
          </w:p>
        </w:tc>
      </w:tr>
      <w:tr>
        <w:trPr/>
        <w:tc>
          <w:tcPr>
            <w:tcW w:w="1440" w:type="dxa"/>
            <w:tcBorders/>
          </w:tcPr>
          <w:p>
            <w:pPr>
              <w:pStyle w:val="Normal"/>
              <w:spacing w:before="240" w:after="0"/>
              <w:ind w:end="144"/>
              <w:jc w:val="end"/>
              <w:rPr>
                <w:b/>
              </w:rPr>
            </w:pPr>
            <w:r>
              <w:rPr>
                <w:b/>
              </w:rPr>
              <w:t>From:</w:t>
            </w:r>
          </w:p>
        </w:tc>
        <w:tc>
          <w:tcPr>
            <w:tcW w:w="8136" w:type="dxa"/>
            <w:gridSpan w:val="2"/>
            <w:tcBorders/>
          </w:tcPr>
          <w:p>
            <w:pPr>
              <w:pStyle w:val="Normal"/>
              <w:spacing w:before="240" w:after="0"/>
              <w:ind w:start="144" w:end="0"/>
              <w:rPr>
                <w:lang w:val="en-CA" w:eastAsia="en-CA"/>
              </w:rPr>
            </w:pPr>
            <w:bookmarkStart w:id="11" w:name="From"/>
            <w:bookmarkEnd w:id="11"/>
            <w:r>
              <w:rPr>
                <w:lang w:val="en-CA" w:eastAsia="en-CA"/>
              </w:rPr>
              <w:t>Cadwalader, Wickersham &amp; Taft</w:t>
            </w:r>
          </w:p>
        </w:tc>
      </w:tr>
      <w:tr>
        <w:trPr/>
        <w:tc>
          <w:tcPr>
            <w:tcW w:w="1440" w:type="dxa"/>
            <w:tcBorders/>
          </w:tcPr>
          <w:p>
            <w:pPr>
              <w:pStyle w:val="Normal"/>
              <w:spacing w:before="240" w:after="0"/>
              <w:ind w:end="144"/>
              <w:jc w:val="end"/>
              <w:rPr>
                <w:b/>
              </w:rPr>
            </w:pPr>
            <w:bookmarkStart w:id="12" w:name="Date"/>
            <w:bookmarkEnd w:id="12"/>
            <w:r>
              <w:rPr>
                <w:b/>
              </w:rPr>
              <w:t>Date:</w:t>
            </w:r>
          </w:p>
        </w:tc>
        <w:tc>
          <w:tcPr>
            <w:tcW w:w="8136" w:type="dxa"/>
            <w:gridSpan w:val="2"/>
            <w:tcBorders/>
          </w:tcPr>
          <w:p>
            <w:pPr>
              <w:pStyle w:val="Normal"/>
              <w:spacing w:before="240" w:after="0"/>
              <w:ind w:start="144" w:end="0"/>
              <w:rPr/>
            </w:pPr>
            <w:r>
              <w:rPr/>
              <w:t>September 6, 2000</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gridSpan w:val="2"/>
            <w:tcBorders>
              <w:bottom w:val="double" w:sz="4" w:space="0" w:color="000000"/>
            </w:tcBorders>
          </w:tcPr>
          <w:p>
            <w:pPr>
              <w:pStyle w:val="Normal"/>
              <w:tabs>
                <w:tab w:val="clear" w:pos="720"/>
                <w:tab w:val="left" w:pos="7200" w:leader="none"/>
              </w:tabs>
              <w:spacing w:before="240" w:after="240"/>
              <w:ind w:start="144" w:end="720"/>
              <w:jc w:val="both"/>
              <w:rPr>
                <w:u w:val="single"/>
              </w:rPr>
            </w:pPr>
            <w:bookmarkStart w:id="13" w:name="Re"/>
            <w:bookmarkEnd w:id="13"/>
            <w:r>
              <w:rPr>
                <w:u w:val="single"/>
              </w:rPr>
              <w:t>Regulation of a Futures Commission Merchant</w:t>
            </w:r>
          </w:p>
        </w:tc>
      </w:tr>
      <w:tr>
        <w:trPr/>
        <w:tc>
          <w:tcPr>
            <w:tcW w:w="1440" w:type="dxa"/>
            <w:tcBorders/>
          </w:tcPr>
          <w:p>
            <w:pPr>
              <w:pStyle w:val="Normal"/>
              <w:snapToGrid w:val="false"/>
              <w:ind w:end="144"/>
              <w:jc w:val="end"/>
              <w:rPr>
                <w:b/>
                <w:u w:val="single"/>
              </w:rPr>
            </w:pPr>
            <w:r>
              <w:rPr>
                <w:b/>
                <w:u w:val="single"/>
              </w:rPr>
            </w:r>
          </w:p>
        </w:tc>
        <w:tc>
          <w:tcPr>
            <w:tcW w:w="8136" w:type="dxa"/>
            <w:gridSpan w:val="2"/>
            <w:tcBorders/>
          </w:tcPr>
          <w:p>
            <w:pPr>
              <w:pStyle w:val="Normal"/>
              <w:snapToGrid w:val="false"/>
              <w:ind w:start="144" w:end="0"/>
              <w:rPr>
                <w:b/>
              </w:rPr>
            </w:pPr>
            <w:r>
              <w:rPr>
                <w:b/>
              </w:rPr>
            </w:r>
          </w:p>
        </w:tc>
      </w:tr>
    </w:tbl>
    <w:p>
      <w:pPr>
        <w:pStyle w:val="BodyMain"/>
        <w:spacing w:lineRule="auto" w:line="480"/>
        <w:rPr/>
      </w:pPr>
      <w:bookmarkStart w:id="14" w:name="Body"/>
      <w:bookmarkEnd w:id="14"/>
      <w:r>
        <w:rPr/>
        <w:t>The purpose of this memorandum is to set forth in summary fashion the principal regulatory responsibilities of a futures commission merchant (“FCM”) which is a clearing member of one or more futures exchanges in the United States.  Such an FCM is subject to regulation under the Commodity Exchange Act and Commodity Futures Trading Commission (“CFTC”) rules and regulations, the rules and regulations of U.S. exchanges, and National Futures Association (“NFA”) rules and regulations.</w:t>
      </w:r>
    </w:p>
    <w:p>
      <w:pPr>
        <w:pStyle w:val="BodyMain"/>
        <w:spacing w:lineRule="auto" w:line="480"/>
        <w:rPr/>
      </w:pPr>
      <w:r>
        <w:rPr/>
        <w:t xml:space="preserve">Once registered, an FCM must comply with rules on registration and proficiency testing of employees who handle customer business, customer account supervision, minimum net capital, segregation and protection of customer funds, keeping of books and records, reporting, risk disclosure to customers, and various trading prohibitions.  Exchange regulation includes such matters as net capital requirements (which may exceed CFTC requirements) and financial reporting, handling of customer orders, supervision of discretionary accounts, and collection of margin.  An FCM is audited to assure compliance with the net capital and segregation requirements.  To avoid multiple repetitive audits, one exchange of which the FCM is a member is typically selected to be the FCM’s designated self-regulatory organization (a “DSRO”) to conduct such financial and segregation audits.  </w:t>
      </w:r>
    </w:p>
    <w:p>
      <w:pPr>
        <w:pStyle w:val="BodyMain"/>
        <w:spacing w:lineRule="auto" w:line="480"/>
        <w:rPr/>
      </w:pPr>
      <w:r>
        <w:rPr/>
        <w:t>Because of the significant financial and operational risks posed by the failure of a clearing member to the clearing organization and other clearing members, clearing membership subjects an FCM to additional rules and closer oversight scrutiny.  We have set forth below a brief summary of the principal regulatory requirements applicable to FCMs.</w:t>
      </w:r>
    </w:p>
    <w:p>
      <w:pPr>
        <w:pStyle w:val="BodyMain"/>
        <w:spacing w:lineRule="auto" w:line="480"/>
        <w:ind w:hanging="0" w:end="0"/>
        <w:rPr/>
      </w:pPr>
      <w:r>
        <w:rPr/>
        <w:t xml:space="preserve">1.  </w:t>
      </w:r>
      <w:r>
        <w:rPr>
          <w:u w:val="single"/>
        </w:rPr>
        <w:t>Registration</w:t>
      </w:r>
    </w:p>
    <w:p>
      <w:pPr>
        <w:pStyle w:val="BodyMain"/>
        <w:spacing w:lineRule="auto" w:line="480"/>
        <w:rPr/>
      </w:pPr>
      <w:r>
        <w:rPr/>
        <w:t xml:space="preserve">In addition to being registered itself, an FCM is responsible for assuring that its officers and employees are registered or listed in the appropriate capacity, </w:t>
      </w:r>
      <w:r>
        <w:rPr>
          <w:u w:val="single"/>
        </w:rPr>
        <w:t>i.e.</w:t>
      </w:r>
      <w:r>
        <w:rPr/>
        <w:t>, registered as an associated person (“AP”) if they are involved in soliciting or accepting orders (other than in a clerical capacity) or listed as a principal.  An FCM is also responsible for updating filings with NFA regarding its APs and principals whenever necessary to keep them accurate, current, and complete.</w:t>
      </w:r>
    </w:p>
    <w:p>
      <w:pPr>
        <w:pStyle w:val="BodyMain"/>
        <w:spacing w:lineRule="auto" w:line="480"/>
        <w:ind w:hanging="0" w:end="0"/>
        <w:rPr/>
      </w:pPr>
      <w:r>
        <w:rPr/>
        <w:t xml:space="preserve">2.  </w:t>
      </w:r>
      <w:r>
        <w:rPr>
          <w:u w:val="single"/>
        </w:rPr>
        <w:t>Supervision</w:t>
      </w:r>
    </w:p>
    <w:p>
      <w:pPr>
        <w:pStyle w:val="BodyMain"/>
        <w:spacing w:lineRule="auto" w:line="480"/>
        <w:rPr/>
      </w:pPr>
      <w:r>
        <w:rPr/>
        <w:t>An FCM is required to diligently supervise the handling of all customer accounts and all other activities of its officers and employees relating to its futures business.  The CFTC takes the view that this requirement imposes an obligation on FCMs to maintain appropriate risk management procedures and internal controls.  Given the differences in the size and complexity of the operations of FCMs, there is some degree of flexibility in designing procedures that are tailored to each FCM’s particular business.</w:t>
      </w:r>
    </w:p>
    <w:p>
      <w:pPr>
        <w:pStyle w:val="BodyMain"/>
        <w:keepNext w:val="true"/>
        <w:keepLines/>
        <w:spacing w:lineRule="auto" w:line="480"/>
        <w:ind w:hanging="0" w:end="0"/>
        <w:rPr/>
      </w:pPr>
      <w:r>
        <w:rPr/>
        <w:t xml:space="preserve">3. </w:t>
      </w:r>
      <w:r>
        <w:rPr>
          <w:u w:val="single"/>
        </w:rPr>
        <w:t>Financial Requirements; Financial Reporting</w:t>
      </w:r>
    </w:p>
    <w:p>
      <w:pPr>
        <w:pStyle w:val="BodyMain"/>
        <w:spacing w:lineRule="auto" w:line="480"/>
        <w:rPr/>
      </w:pPr>
      <w:r>
        <w:rPr/>
        <w:t xml:space="preserve">An FCM must comply with the CFTC’s  minimum net capital requirement, which is based upon a percentage of its customer segregated funds.  An FCM also has an “early warning” capital level set at 150% of the minimum.  If its capital falls below the early warning level or if any customer’s account becomes undermargined by an amount equal to its adjusted net capital, the FCM must file written notice of that fact with the CFTC and its DSRO, and it becomes subject to special reporting requirements.  </w:t>
      </w:r>
    </w:p>
    <w:p>
      <w:pPr>
        <w:pStyle w:val="BodyMain"/>
        <w:spacing w:lineRule="auto" w:line="480"/>
        <w:rPr/>
      </w:pPr>
      <w:r>
        <w:rPr/>
        <w:t>An exchange and/or a clearing organization may impose higher net capital requirements on an FCM and/or require that written notice be filed in other circumstances, such as if the FCM’s adjusted net capital decreases by more than a specified percentage.</w:t>
      </w:r>
    </w:p>
    <w:p>
      <w:pPr>
        <w:pStyle w:val="BodyMain"/>
        <w:spacing w:lineRule="auto" w:line="480"/>
        <w:rPr/>
      </w:pPr>
      <w:r>
        <w:rPr/>
        <w:t>An FCM must submit quarterly financial statements to the CFTC and its DSRO.  The statements for year end must be certified by an independent public accountant.</w:t>
      </w:r>
    </w:p>
    <w:p>
      <w:pPr>
        <w:pStyle w:val="BodyMain"/>
        <w:keepNext w:val="true"/>
        <w:keepLines/>
        <w:spacing w:lineRule="auto" w:line="480"/>
        <w:ind w:hanging="0" w:end="0"/>
        <w:rPr/>
      </w:pPr>
      <w:r>
        <w:rPr/>
        <w:t xml:space="preserve">4.  </w:t>
      </w:r>
      <w:r>
        <w:rPr>
          <w:u w:val="single"/>
        </w:rPr>
        <w:t>Segregation Requirements</w:t>
      </w:r>
    </w:p>
    <w:p>
      <w:pPr>
        <w:pStyle w:val="BodyMain"/>
        <w:spacing w:lineRule="auto" w:line="480"/>
        <w:rPr/>
      </w:pPr>
      <w:r>
        <w:rPr/>
        <w:t>All customer funds must be separately accounted for and segregated.  These funds may only be deposited at a bank, clearing organization of an exchange, or another FCM.  The account in which they are deposited must be clearly identified and titled as a customer segregated account.  The FCM must obtain a written acknowledgement from the depository in which it states that it has been informed that the account is a customer segregated account.  If the funds held in its customer segregated account fall below the required total (</w:t>
      </w:r>
      <w:r>
        <w:rPr>
          <w:u w:val="single"/>
        </w:rPr>
        <w:t>e.g.</w:t>
      </w:r>
      <w:r>
        <w:rPr/>
        <w:t>, in the event that one of its customers defaults on a margin call), the FCM must contribute its own funds to the customer segregated account in order to ensure that the proper amount remains in segregation.  The FCM’s books must at all times reflect the amount of its interest in the segregated account.</w:t>
      </w:r>
    </w:p>
    <w:p>
      <w:pPr>
        <w:pStyle w:val="BodyMain"/>
        <w:spacing w:lineRule="auto" w:line="480"/>
        <w:rPr/>
      </w:pPr>
      <w:r>
        <w:rPr/>
        <w:t>Customer funds may be invested by the FCM but only in obligations of the U.S., general obligations of any state or obligations fully guaranteed as to principal and interest by the U.S.  The FCM must maintain a complete record of all investments of customer funds.</w:t>
      </w:r>
    </w:p>
    <w:p>
      <w:pPr>
        <w:pStyle w:val="BodyMain"/>
        <w:spacing w:lineRule="auto" w:line="480"/>
        <w:rPr/>
      </w:pPr>
      <w:r>
        <w:rPr/>
        <w:t>Each day an FCM must make a formal segregation computation.  This computation must detail the amount of customer funds required to be on deposit in segregated accounts, the amount of funds on deposit in segregated accounts, and the FCM’s residual interest in the funds on deposit.  The calculation must be completed by noon of the following business day.</w:t>
      </w:r>
    </w:p>
    <w:p>
      <w:pPr>
        <w:pStyle w:val="BodyMain"/>
        <w:spacing w:lineRule="auto" w:line="480"/>
        <w:rPr/>
      </w:pPr>
      <w:r>
        <w:rPr/>
        <w:t>Any FCM which carries accounts of foreign futures or foreign options customers (</w:t>
      </w:r>
      <w:r>
        <w:rPr>
          <w:u w:val="single"/>
        </w:rPr>
        <w:t>i.e.</w:t>
      </w:r>
      <w:r>
        <w:rPr/>
        <w:t>, U.S. customers trading futures or options on foreign exchanges) must maintain in a separate account funds sufficient to satisfy its obligations to those customers.  This amount is known as the foreign futures and foreign options secured amount.  Generally, there are requirements similar to segregation requirements for the secured amount.  These requirements include separate accounting, daily computation, recordkeeping, and acceptability of investments and depositories.</w:t>
      </w:r>
    </w:p>
    <w:p>
      <w:pPr>
        <w:pStyle w:val="BodyMain"/>
        <w:keepNext w:val="true"/>
        <w:keepLines/>
        <w:spacing w:lineRule="auto" w:line="480"/>
        <w:ind w:hanging="0" w:end="0"/>
        <w:rPr/>
      </w:pPr>
      <w:r>
        <w:rPr/>
        <w:t xml:space="preserve">5.  </w:t>
      </w:r>
      <w:r>
        <w:rPr>
          <w:u w:val="single"/>
        </w:rPr>
        <w:t>Proprietary Accounts</w:t>
      </w:r>
    </w:p>
    <w:p>
      <w:pPr>
        <w:pStyle w:val="BodyMain"/>
        <w:spacing w:lineRule="auto" w:line="480"/>
        <w:rPr/>
      </w:pPr>
      <w:r>
        <w:rPr/>
        <w:t>An FCM may carry accounts for its affiliated persons.  These are referred to as “proprietary accounts” to distinguish them from customer accounts.  For this purpose, a proprietary account is defined to include any account of which ten percent or more is owned by any one or more of the following persons:  (i) the FCM itself; (ii) a general partner of the FCM or any other partner whose duties include management, handling of customer trades or funds, keeping of records respecting trades or funds of customers, or signing checks on behalf of the FCM; (iii) a corporate officer, director or owner of ten percent or more of the FCM’s capital stock; (iv) an employee of the FCM whose duties include management, handling of trades or funds of customers, keeping of records regarding trades or funds of customers, or the signing of checks on behalf of the FCM; (v) a spouse or minor dependent living in the household of any of the above persons; or (vi) a business affiliate that directly or indirectly controls or is controlled by or is under common control with the FCM.</w:t>
      </w:r>
    </w:p>
    <w:p>
      <w:pPr>
        <w:pStyle w:val="BodyMain"/>
        <w:spacing w:lineRule="auto" w:line="480"/>
        <w:rPr/>
      </w:pPr>
      <w:r>
        <w:rPr/>
        <w:t>Generally, certain benefits and protections are provided to customer accounts which are not provided to proprietary accounts.  Most significant, funds in a proprietary account of an FCM are not protected by the segregation requirements for customer funds.  Thus, such funds could be commingled with the FCM’s own funds and be available for use by the FCM for the FCM’s own trading, or to satisfy debts owed by the FCM to its creditors.  Also, because the restrictions on investment of customer funds would not apply, the funds in a proprietary account could be invested by the FCM in instruments of higher risk than the government securities to which investment of customer funds by an FCM are restricted.</w:t>
      </w:r>
    </w:p>
    <w:p>
      <w:pPr>
        <w:pStyle w:val="BodyMain"/>
        <w:spacing w:lineRule="auto" w:line="480"/>
        <w:rPr/>
      </w:pPr>
      <w:r>
        <w:rPr/>
        <w:t>Account classification is also significant in the event of a bankruptcy of an FCM.  The CFTC’s bankruptcy rules give customer accounts a preference over accounts of persons which would be classified as proprietary in the event of a distribution following the filing of a petition in bankruptcy by or against an FCM.  Thus, the claims of a proprietary account holder would be subordinated to the claims of customers in a bankruptcy distribution.</w:t>
      </w:r>
    </w:p>
    <w:p>
      <w:pPr>
        <w:pStyle w:val="BodyMain"/>
        <w:spacing w:lineRule="auto" w:line="480"/>
        <w:ind w:hanging="0" w:end="0"/>
        <w:rPr/>
      </w:pPr>
      <w:r>
        <w:rPr/>
        <w:t xml:space="preserve">6.  </w:t>
      </w:r>
      <w:r>
        <w:rPr>
          <w:u w:val="single"/>
        </w:rPr>
        <w:t>Risk Assessment Reporting</w:t>
      </w:r>
    </w:p>
    <w:p>
      <w:pPr>
        <w:pStyle w:val="BodyMain"/>
        <w:spacing w:lineRule="auto" w:line="480"/>
        <w:rPr/>
      </w:pPr>
      <w:r>
        <w:rPr/>
        <w:t>The CFTC’s risk assessment rules require an FCM that is part of a holding company group to maintain specified records and file certain reports with the CFTC.  These records include:  (i) an organizational chart depicting the various entities with which the FCM is affiliated and identifying the FCM’s material affiliated persons (each, a “MAP”); (ii) the FCM’s policies, procedures and systems to manage the risks to the FCM’s financial condition or operations arising from the activities of its affiliates; and (iii) consolidated and consolidating financial statements.  A MAP refers to an affiliate whose business activities are reasonably likely to have a material impact on the FCM’s financial or operational condition.  For example, an FCM may have substantial exposure to its parent by reason of carrying or clearing the parent’s futures account, and thus the parent would be a MAP even though its line of business does not directly involve the futures markets.  In determining whether an account is of material size, the appropriate benchmark is the capital of the FCM rather than that of the parent or other affiliate.  In this regard, the threshold issue is whether the affiliate’s activities are material in relation to their reasonably foreseeable impact on the FCM.</w:t>
      </w:r>
    </w:p>
    <w:p>
      <w:pPr>
        <w:pStyle w:val="BodyMain"/>
        <w:spacing w:lineRule="auto" w:line="480"/>
        <w:rPr/>
      </w:pPr>
      <w:r>
        <w:rPr/>
        <w:t>An FCM must file with the CFTC a copy of the organizational chart; its risk management policies, procedures and systems; and consolidated and consolidating financial statements for the highest level MAP within the FCM’s organizational structure, which must include the FCM and its other MAPs.  The FCM is also required to provide the CFTC with additional information if such information is determined to be necessary for a complete understanding of a particular MAP’s impact on the FCM’s organizational group.  Thus, an FCM may be required to file information with the CFTC which is not otherwise publicly available.  All information obtained by the CFTC pursuant to the risk assessment reporting provisions from an FCM concerning a MAP is deemed confidential information and thus exempt from disclosure pursuant to a request under the Freedom of Information Act.</w:t>
      </w:r>
    </w:p>
    <w:p>
      <w:pPr>
        <w:pStyle w:val="BodyMain"/>
        <w:spacing w:lineRule="auto" w:line="480"/>
        <w:rPr/>
      </w:pPr>
      <w:r>
        <w:rPr/>
        <w:t xml:space="preserve">The required financial statements must be filed on an annual basis, within 105 calendar days of the FCM’s fiscal year-end.  Where there is a material change in information provided, such change must be reported within 60 calendar days after the end of the fiscal quarter in which the change has occurred.  </w:t>
      </w:r>
    </w:p>
    <w:p>
      <w:pPr>
        <w:pStyle w:val="BodyMain"/>
        <w:spacing w:lineRule="auto" w:line="480"/>
        <w:rPr/>
      </w:pPr>
      <w:r>
        <w:rPr/>
        <w:t>The CFTC has authority to grant exemptions to address cases in which compliance would create special hardship such as where consolidating balance sheets on the required basis are not routinely generated and to do so would be unduly burdensome.</w:t>
      </w:r>
    </w:p>
    <w:p>
      <w:pPr>
        <w:pStyle w:val="BodyMain"/>
        <w:spacing w:lineRule="auto" w:line="480"/>
        <w:ind w:hanging="0" w:end="0"/>
        <w:rPr/>
      </w:pPr>
      <w:r>
        <w:rPr/>
        <w:t xml:space="preserve">7.  </w:t>
      </w:r>
      <w:r>
        <w:rPr>
          <w:u w:val="single"/>
        </w:rPr>
        <w:t>Required Books and Records</w:t>
      </w:r>
    </w:p>
    <w:p>
      <w:pPr>
        <w:pStyle w:val="BodyMain"/>
        <w:spacing w:lineRule="auto" w:line="480"/>
        <w:rPr/>
      </w:pPr>
      <w:r>
        <w:rPr/>
        <w:t>Each FCM must maintain and have available for inspection at its main business office various books and records that support and explain its activities.  All required books and records must be kept for five years and must be readily accessible for the most recent two years of the five year period.</w:t>
      </w:r>
    </w:p>
    <w:p>
      <w:pPr>
        <w:pStyle w:val="BodyMain"/>
        <w:keepNext w:val="true"/>
        <w:keepLines/>
        <w:spacing w:lineRule="auto" w:line="480"/>
        <w:ind w:hanging="0" w:end="0"/>
        <w:rPr/>
      </w:pPr>
      <w:r>
        <w:rPr/>
        <w:t xml:space="preserve">8.  </w:t>
      </w:r>
      <w:r>
        <w:rPr>
          <w:u w:val="single"/>
        </w:rPr>
        <w:t>Clearing Organization Issues</w:t>
      </w:r>
    </w:p>
    <w:p>
      <w:pPr>
        <w:pStyle w:val="BodyMain"/>
        <w:spacing w:lineRule="auto" w:line="480"/>
        <w:rPr/>
      </w:pPr>
      <w:r>
        <w:rPr/>
        <w:t>A clearing member has significant responsibilities and obligations to the clearing organization of which it is a member.  Most clearing organizations require their members to make substantial deposits into a guaranty fund.  Each member’s deposit is available to the clearing organization to cover any default by that member or, if necessary, to cover any default by other members as well.  Clearing organizations carefully monitor the financial condition of their members to verify continued compliance with the applicable financial requirements and to detect any financial problems before they affect a member’s ability to perform its obligations.  For example, clearing organizations require their members to submit financial statements periodically and to report to the clearing organization any impairment of their financial condition.</w:t>
      </w:r>
    </w:p>
    <w:p>
      <w:pPr>
        <w:pStyle w:val="BodyMain"/>
        <w:spacing w:lineRule="auto" w:line="480"/>
        <w:rPr/>
      </w:pPr>
      <w:r>
        <w:rPr/>
        <w:t>If a defaulting clearing member’s margin deposits and other available assets, including its guaranty fund deposit, are not sufficient to cover its variation margin payment obligations to the clearing organization, the clearing organization will need to cover the shortfall.  Most clearing organizations have adopted specific provisions for covering shortfalls caused by clearing member defaults.  Typically, they provide that surplus capital of the clearing organization and any other available assets of the clearing organization are first applied to the deficit, and then the guaranty fund deposits of nondefaulting members are applied to the extent necessary.  If this is not sufficient, most clearing organizations then may assess their members to cover the balance of the deficit.  In the past, most clearing organizations subjected their members to unlimited liability for assessments to cover a deficit caused by a clearing member default, but most clearing organizations currently have specific limitations on their assessment power.  Some clearing organizations also require each clearing member to restore its guaranty fund deposit, or so much of it has been used.</w:t>
      </w:r>
    </w:p>
    <w:p>
      <w:pPr>
        <w:pStyle w:val="BodyMain"/>
        <w:keepNext w:val="true"/>
        <w:keepLines/>
        <w:spacing w:lineRule="auto" w:line="480"/>
        <w:ind w:hanging="0" w:end="0"/>
        <w:rPr/>
      </w:pPr>
      <w:r>
        <w:rPr/>
        <w:t xml:space="preserve">9.  </w:t>
      </w:r>
      <w:r>
        <w:rPr>
          <w:u w:val="single"/>
        </w:rPr>
        <w:t>Reports to Customers</w:t>
      </w:r>
    </w:p>
    <w:p>
      <w:pPr>
        <w:pStyle w:val="BodyMain"/>
        <w:spacing w:lineRule="auto" w:line="480"/>
        <w:rPr/>
      </w:pPr>
      <w:r>
        <w:rPr/>
        <w:t>An FCM is required to send daily trade confirmation and monthly statements of account to its customers.</w:t>
      </w:r>
    </w:p>
    <w:p>
      <w:pPr>
        <w:pStyle w:val="BodyMain"/>
        <w:keepNext w:val="true"/>
        <w:keepLines/>
        <w:spacing w:lineRule="auto" w:line="480"/>
        <w:ind w:hanging="0" w:end="0"/>
        <w:rPr/>
      </w:pPr>
      <w:r>
        <w:rPr/>
        <w:t xml:space="preserve">10.  </w:t>
      </w:r>
      <w:r>
        <w:rPr>
          <w:u w:val="single"/>
        </w:rPr>
        <w:t>Customer Orders</w:t>
      </w:r>
    </w:p>
    <w:p>
      <w:pPr>
        <w:pStyle w:val="BodyMain"/>
        <w:spacing w:lineRule="auto" w:line="480"/>
        <w:rPr/>
      </w:pPr>
      <w:r>
        <w:rPr/>
        <w:t>Customer orders must be timestamped upon receipt and include the account number and order number at the time the order is received.  Option orders must also be time stamped upon transmittal for execution.  A record must be kept which shows for each day all futures and options transactions executed for customers, including date, price or premium, quantity, market, commodity, contract month and the person for whom the transaction was made.</w:t>
      </w:r>
    </w:p>
    <w:p>
      <w:pPr>
        <w:pStyle w:val="BodyMain"/>
        <w:spacing w:lineRule="auto" w:line="480"/>
        <w:ind w:hanging="0" w:end="0"/>
        <w:rPr/>
      </w:pPr>
      <w:r>
        <w:rPr/>
        <w:t xml:space="preserve">11.  </w:t>
      </w:r>
      <w:r>
        <w:rPr>
          <w:u w:val="single"/>
        </w:rPr>
        <w:t>Reportable Positions; Position Limits</w:t>
      </w:r>
    </w:p>
    <w:p>
      <w:pPr>
        <w:pStyle w:val="BodyMain"/>
        <w:spacing w:lineRule="auto" w:line="480"/>
        <w:rPr/>
      </w:pPr>
      <w:r>
        <w:rPr/>
        <w:t>The CFTC requires an FCM to report to the CFTC any account in which the positions equal or exceed  levels specified in the CFTC Regulations.  In addition, for most commodities, exchanges prescribe so-called “speculative position limits” on the size of positions which any person can own or control other than for hedging or other risk management purposes.  An FCM must monitor the positions of its customers as well as its own positions to assure that those position limits are not violated.  Finally, some clearing organizations impose limits on the total position a clearing member may carry with the clearing organization, whether for customer or proprietary accounts and each clearing member must monitor its trading activity to maintain compliance with those limits.</w:t>
      </w:r>
    </w:p>
    <w:p>
      <w:pPr>
        <w:pStyle w:val="BodyMain"/>
        <w:keepNext w:val="true"/>
        <w:keepLines/>
        <w:spacing w:lineRule="auto" w:line="480"/>
        <w:ind w:hanging="0" w:end="0"/>
        <w:rPr/>
      </w:pPr>
      <w:r>
        <w:rPr/>
        <w:t xml:space="preserve">12.  </w:t>
      </w:r>
      <w:r>
        <w:rPr>
          <w:u w:val="single"/>
        </w:rPr>
        <w:t>Doing Business with Non-NFA Members</w:t>
      </w:r>
    </w:p>
    <w:p>
      <w:pPr>
        <w:pStyle w:val="BodyMain"/>
        <w:spacing w:lineRule="auto" w:line="480"/>
        <w:rPr/>
      </w:pPr>
      <w:r>
        <w:rPr/>
        <w:t>An FCM may not effect transactions for a person required to be registered unless it is registered in the appropriate capacity and is an NFA member.  To reduce the possibility of a violation of this prohibition, an FCM must take certain affirmative steps such as obtaining written representations as to registration status and NFA membership at the time an account is opened.</w:t>
      </w:r>
    </w:p>
    <w:p>
      <w:pPr>
        <w:pStyle w:val="BodyMain"/>
        <w:spacing w:lineRule="auto" w:line="480"/>
        <w:ind w:hanging="0" w:end="0"/>
        <w:rPr/>
      </w:pPr>
      <w:r>
        <w:rPr/>
        <w:t xml:space="preserve">13.  </w:t>
      </w:r>
      <w:r>
        <w:rPr>
          <w:u w:val="single"/>
        </w:rPr>
        <w:t>Customer Information and Risk Disclosure</w:t>
      </w:r>
    </w:p>
    <w:p>
      <w:pPr>
        <w:pStyle w:val="BodyMain"/>
        <w:spacing w:lineRule="auto" w:line="480"/>
        <w:rPr/>
      </w:pPr>
      <w:r>
        <w:rPr/>
        <w:t>An FCM is required to obtain certain information about a new customer and to provide risk disclosure in light of that information at or before the time the customer opens an account.  Certain basic risk disclosure statements must be provided to the customer, supplemented by whatever additional disclosure may be appropriate for a given customer.</w:t>
      </w:r>
    </w:p>
    <w:p>
      <w:pPr>
        <w:pStyle w:val="BodyMain"/>
        <w:spacing w:lineRule="auto" w:line="480"/>
        <w:ind w:hanging="0" w:end="0"/>
        <w:rPr/>
      </w:pPr>
      <w:r>
        <w:rPr/>
        <w:t xml:space="preserve">14.  </w:t>
      </w:r>
      <w:r>
        <w:rPr>
          <w:u w:val="single"/>
        </w:rPr>
        <w:t>Customer Protection</w:t>
      </w:r>
    </w:p>
    <w:p>
      <w:pPr>
        <w:pStyle w:val="BodyMain"/>
        <w:spacing w:lineRule="auto" w:line="480"/>
        <w:rPr/>
      </w:pPr>
      <w:r>
        <w:rPr/>
        <w:t>An FCM may not represent that it will guarantee a customer against loss or limit the customer’s loss, or claim that it will not call for, or attempt to collect, the margin required for each contract.  An FCM may not disclose a customer order unless such disclosure is necessary to the effective execution of the order.</w:t>
      </w:r>
    </w:p>
    <w:p>
      <w:pPr>
        <w:pStyle w:val="BodyMain"/>
        <w:spacing w:lineRule="auto" w:line="480" w:before="0" w:after="0"/>
        <w:rPr/>
      </w:pPr>
      <w:r>
        <w:rPr/>
        <w:t>An FCM must adopt procedures and controls to assure that orders for its own account, or an account of an affiliated person, are not placed before a customer order which is executable at or near the market. Nor may an FCM or its affiliates knowingly take the other side of a customer order, absent prior consent by the customer in accordance with an exchange rule permitting such practice.</w:t>
      </w:r>
    </w:p>
    <w:p>
      <w:pPr>
        <w:pStyle w:val="BodyMain"/>
        <w:keepNext w:val="true"/>
        <w:keepLines/>
        <w:spacing w:lineRule="auto" w:line="480"/>
        <w:ind w:hanging="0" w:end="0"/>
        <w:rPr/>
      </w:pPr>
      <w:r>
        <w:rPr/>
        <w:t xml:space="preserve">15.  </w:t>
      </w:r>
      <w:r>
        <w:rPr>
          <w:u w:val="single"/>
        </w:rPr>
        <w:t>Sales Practices</w:t>
      </w:r>
    </w:p>
    <w:p>
      <w:pPr>
        <w:pStyle w:val="BodyMain"/>
        <w:spacing w:lineRule="auto" w:line="480"/>
        <w:rPr/>
      </w:pPr>
      <w:r>
        <w:rPr/>
        <w:t>An FCM is responsible for review of promotional material prior to its first intended use.  Among other things, applicable rules prohibit (a) the use of any promotional material that is likely to deceive or mislead the recipient; (b) promotional material that employs or is a part of a high pressure sales approach; (c) the omission of any material fact if the omission would make the promotional material deceptive or misleading; and (d) any statement that futures trading is appropriate for everyone.</w:t>
      </w:r>
    </w:p>
    <w:p>
      <w:pPr>
        <w:pStyle w:val="BodyMain"/>
        <w:spacing w:lineRule="auto" w:line="480"/>
        <w:rPr/>
      </w:pPr>
      <w:r>
        <w:rPr/>
        <w:tab/>
        <w:tab/>
        <w:tab/>
        <w:t>*  *  *  *  *  *  *</w:t>
      </w:r>
    </w:p>
    <w:p>
      <w:pPr>
        <w:pStyle w:val="BodyMain"/>
        <w:spacing w:lineRule="auto" w:line="480"/>
        <w:rPr/>
      </w:pPr>
      <w:r>
        <w:rPr/>
        <w:t>If you have any questions or desire any additional detail concerning the foregoing, please do not hesitate to contact David S. Mitchell at (212) 504-6285 or Edmund R. Schroeder at (212) 504-6916.</w:t>
      </w:r>
    </w:p>
    <w:p>
      <w:pPr>
        <w:pStyle w:val="Normal"/>
        <w:spacing w:before="480" w:after="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500947.1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2000-09-06T18:11:00Z</dcterms:created>
  <dc:creator>MIS Department</dc:creator>
  <dc:description>CWTMemo for March rollout</dc:description>
  <dc:language>en-CA</dc:language>
  <cp:lastModifiedBy>smester</cp:lastModifiedBy>
  <cp:lastPrinted>2000-09-06T16:21:00Z</cp:lastPrinted>
  <dcterms:modified xsi:type="dcterms:W3CDTF">2000-09-06T18:11:00Z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DirectDial">
    <vt:lpwstr>(212) 504-6285</vt:lpwstr>
  </property>
  <property fmtid="{D5CDD505-2E9C-101B-9397-08002B2CF9AE}" pid="4" name="DirectFax">
    <vt:lpwstr>(212) 504-5641</vt:lpwstr>
  </property>
  <property fmtid="{D5CDD505-2E9C-101B-9397-08002B2CF9AE}" pid="5" name="EMail">
    <vt:lpwstr>dmitchel@cwt.com</vt:lpwstr>
  </property>
  <property fmtid="{D5CDD505-2E9C-101B-9397-08002B2CF9AE}" pid="6" name="PCDOCS ID Info">
    <vt:lpwstr>CWT\{PCDOCS Library}\{filename}</vt:lpwstr>
  </property>
  <property fmtid="{D5CDD505-2E9C-101B-9397-08002B2CF9AE}" pid="7" name="PCDOCS ID Long">
    <vt:lpwstr>CWT\NYLIB1\500947.1</vt:lpwstr>
  </property>
  <property fmtid="{D5CDD505-2E9C-101B-9397-08002B2CF9AE}" pid="8" name="PCDOCS ID Short">
    <vt:lpwstr>500947.1</vt:lpwstr>
  </property>
  <property fmtid="{D5CDD505-2E9C-101B-9397-08002B2CF9AE}" pid="9" name="Sender">
    <vt:lpwstr>David S. Mitchell</vt:lpwstr>
  </property>
  <property fmtid="{D5CDD505-2E9C-101B-9397-08002B2CF9AE}" pid="10" name="VersionDate">
    <vt:lpwstr>4/1/99</vt:lpwstr>
  </property>
</Properties>
</file>