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sz w:val="24"/>
          <w:szCs w:val="24"/>
        </w:rPr>
      </w:pPr>
      <w:r>
        <w:rPr>
          <w:sz w:val="24"/>
          <w:szCs w:val="24"/>
        </w:rPr>
        <w:t>BEFORE THE</w:t>
      </w:r>
    </w:p>
    <w:p>
      <w:pPr>
        <w:pStyle w:val="Normal"/>
        <w:jc w:val="center"/>
        <w:rPr>
          <w:sz w:val="24"/>
          <w:szCs w:val="24"/>
        </w:rPr>
      </w:pPr>
      <w:r>
        <w:rPr>
          <w:sz w:val="24"/>
          <w:szCs w:val="24"/>
        </w:rPr>
        <w:t>FEDERAL ENERGY REGULATORY COMMISSION</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Transwestern Pipeline Company</w:t>
        <w:tab/>
        <w:tab/>
        <w:t>)</w:t>
        <w:tab/>
        <w:t xml:space="preserve">Docket No. CP99-522-000 </w:t>
      </w:r>
    </w:p>
    <w:p>
      <w:pPr>
        <w:pStyle w:val="Normal"/>
        <w:jc w:val="both"/>
        <w:rPr>
          <w:sz w:val="24"/>
          <w:szCs w:val="24"/>
        </w:rPr>
      </w:pPr>
      <w:r>
        <w:rPr>
          <w:sz w:val="24"/>
          <w:szCs w:val="24"/>
        </w:rPr>
        <w:tab/>
        <w:tab/>
        <w:tab/>
        <w:tab/>
        <w:tab/>
        <w:tab/>
        <w:t>)</w:t>
      </w:r>
    </w:p>
    <w:p>
      <w:pPr>
        <w:pStyle w:val="Normal"/>
        <w:jc w:val="both"/>
        <w:rPr>
          <w:sz w:val="24"/>
          <w:szCs w:val="24"/>
        </w:rPr>
      </w:pPr>
      <w:r>
        <w:rPr>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MOTION FOR EXTENSION OF TIME TO</w:t>
      </w:r>
    </w:p>
    <w:p>
      <w:pPr>
        <w:pStyle w:val="Normal"/>
        <w:jc w:val="center"/>
        <w:rPr>
          <w:sz w:val="24"/>
          <w:szCs w:val="24"/>
        </w:rPr>
      </w:pPr>
      <w:r>
        <w:rPr>
          <w:b/>
          <w:bCs/>
          <w:sz w:val="24"/>
          <w:szCs w:val="24"/>
        </w:rPr>
        <w:t>COMPLY WITH CONDITION</w:t>
      </w:r>
    </w:p>
    <w:p>
      <w:pPr>
        <w:pStyle w:val="Normal"/>
        <w:jc w:val="both"/>
        <w:rPr>
          <w:sz w:val="24"/>
          <w:szCs w:val="24"/>
        </w:rPr>
      </w:pPr>
      <w:r>
        <w:rPr>
          <w:sz w:val="24"/>
          <w:szCs w:val="24"/>
        </w:rPr>
      </w:r>
    </w:p>
    <w:p>
      <w:pPr>
        <w:pStyle w:val="BodyText"/>
        <w:spacing w:lineRule="auto" w:line="360"/>
        <w:jc w:val="both"/>
        <w:rPr/>
      </w:pPr>
      <w:r>
        <w:rPr/>
        <w:tab/>
        <w:t>Pursuant to Rules 212 and 2008 of the Rules of Practice and Procedure of the Federal Energy Regulatory Commission (Commission), 18 C.F.R. §§ 385.213 and 385.2008, Transwestern Pipeline Company (Transwestern) hereby requests an extension of time to file the discounted rates for its Gallup Expansion as required by the Commission's January 13, 2000 Order Issuing Certificate (January 13 Order).  In support thereof, Transwestern states as follows:</w:t>
      </w:r>
    </w:p>
    <w:p>
      <w:pPr>
        <w:pStyle w:val="Normal"/>
        <w:rPr>
          <w:sz w:val="24"/>
          <w:szCs w:val="24"/>
        </w:rPr>
      </w:pPr>
      <w:r>
        <w:rPr>
          <w:sz w:val="24"/>
          <w:szCs w:val="24"/>
        </w:rPr>
      </w:r>
    </w:p>
    <w:p>
      <w:pPr>
        <w:pStyle w:val="Normal"/>
        <w:jc w:val="center"/>
        <w:rPr>
          <w:b/>
          <w:bCs/>
          <w:sz w:val="24"/>
          <w:szCs w:val="24"/>
        </w:rPr>
      </w:pPr>
      <w:r>
        <w:rPr>
          <w:b/>
          <w:bCs/>
          <w:sz w:val="24"/>
          <w:szCs w:val="24"/>
        </w:rPr>
        <w:t>I.</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BACKGROUND</w:t>
      </w:r>
    </w:p>
    <w:p>
      <w:pPr>
        <w:pStyle w:val="Normal"/>
        <w:jc w:val="both"/>
        <w:rPr>
          <w:b/>
          <w:bCs/>
          <w:sz w:val="24"/>
          <w:szCs w:val="24"/>
        </w:rPr>
      </w:pPr>
      <w:r>
        <w:rPr>
          <w:b/>
          <w:bCs/>
          <w:sz w:val="24"/>
          <w:szCs w:val="24"/>
        </w:rPr>
      </w:r>
    </w:p>
    <w:p>
      <w:pPr>
        <w:pStyle w:val="BodyText2"/>
        <w:spacing w:lineRule="auto" w:line="360"/>
        <w:rPr/>
      </w:pPr>
      <w:r>
        <w:rPr/>
        <w:tab/>
        <w:t>On May 13, 1999, Transwestern filed an application under Section 7(c) of the Natural Gas Act for its Gallup Expansion.  In the January 13 Order, the Commission issued a certificate of public convenience and necessity under authorizing Transwestern to construct and operate the proposed facilities. Transwestern has filed with the Commission the discounted rates it will charge its expansion shippers subject to a request for confidentiality. The January 13 Order contains a condition requiring that Transwestern make the discounted rates publicly available within 15 days of the date of the order.</w:t>
      </w:r>
    </w:p>
    <w:p>
      <w:pPr>
        <w:pStyle w:val="Normal"/>
        <w:jc w:val="both"/>
        <w:rPr>
          <w:sz w:val="24"/>
          <w:szCs w:val="24"/>
        </w:rPr>
      </w:pPr>
      <w:r>
        <w:rPr>
          <w:sz w:val="24"/>
          <w:szCs w:val="24"/>
        </w:rPr>
      </w:r>
    </w:p>
    <w:p>
      <w:pPr>
        <w:pStyle w:val="Heading1"/>
        <w:ind w:hanging="0" w:start="0"/>
        <w:rPr>
          <w:b/>
          <w:bCs/>
        </w:rPr>
      </w:pPr>
      <w:r>
        <w:rPr>
          <w:b/>
          <w:bCs/>
        </w:rPr>
        <w:t>II.</w:t>
      </w:r>
    </w:p>
    <w:p>
      <w:pPr>
        <w:pStyle w:val="Normal"/>
        <w:rPr>
          <w:b/>
          <w:bCs/>
        </w:rPr>
      </w:pPr>
      <w:r>
        <w:rPr>
          <w:b/>
          <w:bCs/>
        </w:rPr>
      </w:r>
    </w:p>
    <w:p>
      <w:pPr>
        <w:pStyle w:val="Heading1"/>
        <w:ind w:hanging="0" w:start="0"/>
        <w:rPr>
          <w:b/>
          <w:bCs/>
        </w:rPr>
      </w:pPr>
      <w:r>
        <w:rPr>
          <w:b/>
          <w:bCs/>
        </w:rPr>
        <w:t>AN EXTENSION OF TIME IS APPROPRIATE</w:t>
      </w:r>
    </w:p>
    <w:p>
      <w:pPr>
        <w:pStyle w:val="Normal"/>
        <w:jc w:val="both"/>
        <w:rPr>
          <w:b/>
          <w:bCs/>
          <w:sz w:val="24"/>
          <w:szCs w:val="24"/>
        </w:rPr>
      </w:pPr>
      <w:r>
        <w:rPr>
          <w:b/>
          <w:bCs/>
          <w:sz w:val="24"/>
          <w:szCs w:val="24"/>
        </w:rPr>
      </w:r>
    </w:p>
    <w:p>
      <w:pPr>
        <w:pStyle w:val="BodyText2"/>
        <w:spacing w:lineRule="auto" w:line="360"/>
        <w:rPr/>
      </w:pPr>
      <w:r>
        <w:rPr/>
        <w:tab/>
        <w:t>Transwestern intends to file a request for rehearing of the January 13 Order that will explain why the Commission erred in ordering Transwestern to publicly disclose its discounted rates. The rates for the Gallup Expansion are confidential and proprietary, and Transwestern would suffer competitive harm if required to publicly disclose such rates prior to the in-service date of the expansion facilities.  No party will be harmed by an extension of time to file the rates. Transwestern therefore respectfully requests that it not be required to file the discounted rates pending Commission action on Transwestern's request for rehearing.</w:t>
      </w:r>
    </w:p>
    <w:p>
      <w:pPr>
        <w:pStyle w:val="BodyText2"/>
        <w:spacing w:lineRule="auto" w:line="360"/>
        <w:rPr/>
      </w:pPr>
      <w:r>
        <w:rPr/>
      </w:r>
    </w:p>
    <w:p>
      <w:pPr>
        <w:pStyle w:val="Normal"/>
        <w:rPr>
          <w:sz w:val="24"/>
          <w:szCs w:val="24"/>
        </w:rPr>
      </w:pPr>
      <w:r>
        <w:rPr>
          <w:sz w:val="24"/>
          <w:szCs w:val="24"/>
        </w:rPr>
        <w:tab/>
        <w:tab/>
        <w:tab/>
        <w:tab/>
        <w:tab/>
        <w:t>TRANSWESTERN PIPELINE COMPANY</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ab/>
        <w:tab/>
        <w:tab/>
        <w:tab/>
        <w:tab/>
        <w:t>By _________________________________</w:t>
      </w:r>
    </w:p>
    <w:p>
      <w:pPr>
        <w:pStyle w:val="Normal"/>
        <w:rPr>
          <w:sz w:val="24"/>
          <w:szCs w:val="24"/>
        </w:rPr>
      </w:pPr>
      <w:r>
        <w:rPr>
          <w:sz w:val="24"/>
          <w:szCs w:val="24"/>
        </w:rPr>
        <w:tab/>
        <w:tab/>
        <w:tab/>
        <w:tab/>
        <w:tab/>
        <w:tab/>
        <w:t>Susan Scott</w:t>
      </w:r>
    </w:p>
    <w:p>
      <w:pPr>
        <w:pStyle w:val="Normal"/>
        <w:rPr>
          <w:sz w:val="24"/>
          <w:szCs w:val="24"/>
        </w:rPr>
      </w:pPr>
      <w:r>
        <w:rPr>
          <w:sz w:val="24"/>
          <w:szCs w:val="24"/>
        </w:rPr>
        <w:tab/>
        <w:tab/>
        <w:tab/>
        <w:tab/>
        <w:tab/>
        <w:tab/>
        <w:t>Senior Counsel</w:t>
      </w:r>
    </w:p>
    <w:p>
      <w:pPr>
        <w:pStyle w:val="Normal"/>
        <w:rPr>
          <w:sz w:val="24"/>
          <w:szCs w:val="24"/>
        </w:rPr>
      </w:pPr>
      <w:r>
        <w:rPr>
          <w:sz w:val="24"/>
          <w:szCs w:val="24"/>
        </w:rPr>
        <w:tab/>
        <w:tab/>
        <w:tab/>
        <w:tab/>
        <w:tab/>
        <w:tab/>
        <w:t>Transwestern Pipeline Company</w:t>
      </w:r>
    </w:p>
    <w:p>
      <w:pPr>
        <w:pStyle w:val="Normal"/>
        <w:rPr>
          <w:sz w:val="24"/>
          <w:szCs w:val="24"/>
        </w:rPr>
      </w:pPr>
      <w:r>
        <w:rPr>
          <w:sz w:val="24"/>
          <w:szCs w:val="24"/>
        </w:rPr>
        <w:tab/>
        <w:tab/>
        <w:tab/>
        <w:tab/>
        <w:tab/>
        <w:tab/>
        <w:t>P.O. Box 1188</w:t>
      </w:r>
    </w:p>
    <w:p>
      <w:pPr>
        <w:pStyle w:val="Normal"/>
        <w:rPr>
          <w:sz w:val="24"/>
          <w:szCs w:val="24"/>
        </w:rPr>
      </w:pPr>
      <w:r>
        <w:rPr>
          <w:sz w:val="24"/>
          <w:szCs w:val="24"/>
        </w:rPr>
        <w:tab/>
        <w:tab/>
        <w:tab/>
        <w:tab/>
        <w:tab/>
        <w:tab/>
        <w:t>Houston, Texas 77251-1188</w:t>
      </w:r>
    </w:p>
    <w:p>
      <w:pPr>
        <w:pStyle w:val="Normal"/>
        <w:rPr>
          <w:sz w:val="24"/>
          <w:szCs w:val="24"/>
        </w:rPr>
      </w:pPr>
      <w:r>
        <w:rPr>
          <w:sz w:val="24"/>
          <w:szCs w:val="24"/>
        </w:rPr>
        <w:tab/>
        <w:tab/>
        <w:tab/>
        <w:tab/>
        <w:tab/>
        <w:tab/>
        <w:t>(713) 853-0596</w:t>
      </w:r>
    </w:p>
    <w:p>
      <w:pPr>
        <w:pStyle w:val="Normal"/>
        <w:rPr>
          <w:sz w:val="24"/>
          <w:szCs w:val="24"/>
        </w:rPr>
      </w:pPr>
      <w:r>
        <w:rPr>
          <w:sz w:val="24"/>
          <w:szCs w:val="24"/>
        </w:rPr>
      </w:r>
    </w:p>
    <w:p>
      <w:pPr>
        <w:pStyle w:val="Normal"/>
        <w:rPr>
          <w:sz w:val="24"/>
          <w:szCs w:val="24"/>
        </w:rPr>
      </w:pPr>
      <w:r>
        <w:rPr>
          <w:sz w:val="24"/>
          <w:szCs w:val="24"/>
        </w:rPr>
        <w:t xml:space="preserve">Dated:  January 17, 2000 </w:t>
      </w:r>
      <w:r>
        <w:br w:type="page"/>
      </w:r>
    </w:p>
    <w:p>
      <w:pPr>
        <w:pStyle w:val="Normal"/>
        <w:rPr>
          <w:sz w:val="24"/>
          <w:szCs w:val="24"/>
        </w:rPr>
      </w:pPr>
      <w:r>
        <w:rPr>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CERTIFICATE OF SERVICE</w:t>
      </w:r>
    </w:p>
    <w:p>
      <w:pPr>
        <w:pStyle w:val="Normal"/>
        <w:rPr>
          <w:b/>
          <w:bCs/>
          <w:sz w:val="24"/>
          <w:szCs w:val="24"/>
        </w:rPr>
      </w:pPr>
      <w:r>
        <w:rPr>
          <w:b/>
          <w:bCs/>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both"/>
        <w:rPr>
          <w:sz w:val="24"/>
          <w:szCs w:val="24"/>
        </w:rPr>
      </w:pPr>
      <w:r>
        <w:rPr>
          <w:sz w:val="24"/>
          <w:szCs w:val="24"/>
        </w:rPr>
        <w:tab/>
        <w:t>I hereby certify that I have this day served the foregoing document upon each person designated on the official service list compiled by the Secretary in this proceeding.</w:t>
      </w:r>
    </w:p>
    <w:p>
      <w:pPr>
        <w:pStyle w:val="Normal"/>
        <w:rPr>
          <w:sz w:val="24"/>
          <w:szCs w:val="24"/>
        </w:rPr>
      </w:pPr>
      <w:r>
        <w:rPr>
          <w:sz w:val="24"/>
          <w:szCs w:val="24"/>
        </w:rPr>
      </w:r>
    </w:p>
    <w:p>
      <w:pPr>
        <w:pStyle w:val="Normal"/>
        <w:rPr>
          <w:sz w:val="24"/>
          <w:szCs w:val="24"/>
        </w:rPr>
      </w:pPr>
      <w:r>
        <w:rPr>
          <w:sz w:val="24"/>
          <w:szCs w:val="24"/>
        </w:rPr>
        <w:tab/>
        <w:t>Dated at Houston, Texas this 17th day of January, 2000.</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ab/>
        <w:tab/>
        <w:tab/>
        <w:tab/>
        <w:tab/>
        <w:tab/>
        <w:t>_____________________________</w:t>
      </w:r>
    </w:p>
    <w:p>
      <w:pPr>
        <w:pStyle w:val="Normal"/>
        <w:rPr>
          <w:sz w:val="24"/>
          <w:szCs w:val="24"/>
        </w:rPr>
      </w:pPr>
      <w:r>
        <w:rPr>
          <w:sz w:val="24"/>
          <w:szCs w:val="24"/>
        </w:rPr>
        <w:tab/>
        <w:tab/>
        <w:tab/>
        <w:tab/>
        <w:tab/>
        <w:tab/>
        <w:t xml:space="preserve">Susan Scott </w:t>
      </w:r>
    </w:p>
    <w:p>
      <w:pPr>
        <w:sectPr>
          <w:footerReference w:type="default" r:id="rId2"/>
          <w:type w:val="nextPage"/>
          <w:pgSz w:w="12240" w:h="15840"/>
          <w:pgMar w:left="1800" w:right="1440" w:gutter="0" w:header="0" w:top="1440" w:footer="720" w:bottom="1440"/>
          <w:pgNumType w:fmt="decimal"/>
          <w:formProt w:val="false"/>
          <w:textDirection w:val="lrTb"/>
        </w:sectPr>
        <w:pStyle w:val="Normal"/>
        <w:rPr>
          <w:sz w:val="24"/>
          <w:szCs w:val="24"/>
        </w:rPr>
      </w:pPr>
      <w:r>
        <w:rPr>
          <w:sz w:val="24"/>
          <w:szCs w:val="24"/>
        </w:rPr>
        <w:tab/>
        <w:tab/>
        <w:tab/>
        <w:tab/>
        <w:tab/>
        <w:tab/>
        <w:t>Senior Counsel</w:t>
      </w:r>
    </w:p>
    <w:p>
      <w:pPr>
        <w:pStyle w:val="Normal"/>
        <w:tabs>
          <w:tab w:val="clear" w:pos="720"/>
          <w:tab w:val="left" w:pos="-720" w:leader="none"/>
        </w:tabs>
        <w:suppressAutoHyphens w:val="true"/>
        <w:rPr>
          <w:rFonts w:ascii="CG Times (WN)" w:hAnsi="CG Times (WN)" w:eastAsia="CG Times (WN)" w:cs="CG Times (WN)"/>
          <w:spacing w:val="-3"/>
          <w:sz w:val="24"/>
          <w:szCs w:val="24"/>
        </w:rPr>
      </w:pPr>
      <w:r>
        <w:rPr>
          <w:rFonts w:eastAsia="CG Times (WN)" w:cs="CG Times (WN)" w:ascii="CG Times (WN)" w:hAnsi="CG Times (WN)"/>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Heading1"/>
        <w:ind w:hanging="0" w:start="0"/>
        <w:jc w:val="both"/>
        <w:rPr/>
      </w:pPr>
      <w:r>
        <w:rPr/>
        <w:t>January 17, 2000</w:t>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t>Mr. David P. Boergers, Secretary</w:t>
      </w:r>
    </w:p>
    <w:p>
      <w:pPr>
        <w:pStyle w:val="Normal"/>
        <w:tabs>
          <w:tab w:val="clear" w:pos="720"/>
          <w:tab w:val="left" w:pos="-720" w:leader="none"/>
        </w:tabs>
        <w:suppressAutoHyphens w:val="true"/>
        <w:rPr>
          <w:spacing w:val="-3"/>
          <w:sz w:val="24"/>
          <w:szCs w:val="24"/>
        </w:rPr>
      </w:pPr>
      <w:r>
        <w:rPr>
          <w:spacing w:val="-3"/>
          <w:sz w:val="24"/>
          <w:szCs w:val="24"/>
        </w:rPr>
        <w:t>Federal Energy Regulatory Commission</w:t>
      </w:r>
    </w:p>
    <w:p>
      <w:pPr>
        <w:pStyle w:val="Normal"/>
        <w:rPr>
          <w:sz w:val="24"/>
          <w:szCs w:val="24"/>
        </w:rPr>
      </w:pPr>
      <w:r>
        <w:rPr>
          <w:sz w:val="24"/>
          <w:szCs w:val="24"/>
        </w:rPr>
        <w:t xml:space="preserve">888 First Street, N.E. </w:t>
      </w:r>
    </w:p>
    <w:p>
      <w:pPr>
        <w:pStyle w:val="Normal"/>
        <w:rPr>
          <w:sz w:val="24"/>
          <w:szCs w:val="24"/>
        </w:rPr>
      </w:pPr>
      <w:r>
        <w:rPr>
          <w:sz w:val="24"/>
          <w:szCs w:val="24"/>
        </w:rPr>
        <w:t>Washington, D.C. 20426</w:t>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t xml:space="preserve">Re: </w:t>
        <w:tab/>
        <w:t>Transwestern Pipeline Company</w:t>
      </w:r>
    </w:p>
    <w:p>
      <w:pPr>
        <w:pStyle w:val="Normal"/>
        <w:tabs>
          <w:tab w:val="clear" w:pos="720"/>
          <w:tab w:val="left" w:pos="-720" w:leader="none"/>
        </w:tabs>
        <w:suppressAutoHyphens w:val="true"/>
        <w:rPr>
          <w:spacing w:val="-3"/>
          <w:sz w:val="24"/>
          <w:szCs w:val="24"/>
        </w:rPr>
      </w:pPr>
      <w:r>
        <w:rPr>
          <w:spacing w:val="-3"/>
          <w:sz w:val="24"/>
          <w:szCs w:val="24"/>
        </w:rPr>
        <w:tab/>
        <w:t>Docket No. CP99-522-000</w:t>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t>Dear Mr. Boergers:</w:t>
      </w:r>
    </w:p>
    <w:p>
      <w:pPr>
        <w:pStyle w:val="Normal"/>
        <w:tabs>
          <w:tab w:val="clear" w:pos="720"/>
          <w:tab w:val="left" w:pos="-720" w:leader="none"/>
        </w:tabs>
        <w:suppressAutoHyphens w:val="true"/>
        <w:rPr>
          <w:spacing w:val="-3"/>
          <w:sz w:val="24"/>
          <w:szCs w:val="24"/>
        </w:rPr>
      </w:pPr>
      <w:r>
        <w:rPr>
          <w:spacing w:val="-3"/>
          <w:sz w:val="24"/>
          <w:szCs w:val="24"/>
        </w:rPr>
      </w:r>
    </w:p>
    <w:p>
      <w:pPr>
        <w:pStyle w:val="BodyText"/>
        <w:rPr/>
      </w:pPr>
      <w:r>
        <w:rPr/>
        <w:t>Enclosed for filing with the Commission in the captioned docket are an original and fourteen (14) copies of Transwestern Pipeline Company's Motion to Extend Time to Comply with Condition.  Also enclosed are three extra copies to be file-stamped and returned to the messenger.</w:t>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t>Very truly yours,</w:t>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pacing w:val="-3"/>
          <w:sz w:val="24"/>
          <w:szCs w:val="24"/>
        </w:rPr>
      </w:pPr>
      <w:r>
        <w:rPr>
          <w:spacing w:val="-3"/>
          <w:sz w:val="24"/>
          <w:szCs w:val="24"/>
        </w:rPr>
      </w:r>
    </w:p>
    <w:p>
      <w:pPr>
        <w:pStyle w:val="Normal"/>
        <w:tabs>
          <w:tab w:val="clear" w:pos="720"/>
          <w:tab w:val="left" w:pos="-720" w:leader="none"/>
        </w:tabs>
        <w:suppressAutoHyphens w:val="true"/>
        <w:rPr>
          <w:sz w:val="24"/>
          <w:szCs w:val="24"/>
        </w:rPr>
      </w:pPr>
      <w:r>
        <w:rPr>
          <w:spacing w:val="-3"/>
          <w:sz w:val="24"/>
          <w:szCs w:val="24"/>
        </w:rPr>
        <w:t>Enclosures</w:t>
      </w:r>
    </w:p>
    <w:p>
      <w:pPr>
        <w:pStyle w:val="BodyText2"/>
        <w:spacing w:lineRule="auto" w:line="360"/>
        <w:rPr>
          <w:sz w:val="24"/>
          <w:szCs w:val="24"/>
        </w:rPr>
      </w:pPr>
      <w:r>
        <w:rPr>
          <w:sz w:val="24"/>
          <w:szCs w:val="24"/>
        </w:rPr>
      </w:r>
    </w:p>
    <w:p>
      <w:pPr>
        <w:pStyle w:val="Normal"/>
        <w:rPr/>
      </w:pPr>
      <w:r>
        <w:rPr/>
      </w:r>
    </w:p>
    <w:p>
      <w:pPr>
        <w:pStyle w:val="Normal"/>
        <w:rPr/>
      </w:pPr>
      <w:r>
        <w:rPr/>
      </w:r>
    </w:p>
    <w:p>
      <w:pPr>
        <w:pStyle w:val="Normal"/>
        <w:rPr/>
      </w:pPr>
      <w:r>
        <w:rPr/>
      </w:r>
    </w:p>
    <w:p>
      <w:pPr>
        <w:pStyle w:val="Normal"/>
        <w:jc w:val="center"/>
        <w:rPr/>
      </w:pPr>
      <w:r>
        <w:rPr/>
      </w:r>
    </w:p>
    <w:p>
      <w:pPr>
        <w:pStyle w:val="Normal"/>
        <w:jc w:val="center"/>
        <w:rPr>
          <w:sz w:val="24"/>
          <w:szCs w:val="24"/>
        </w:rPr>
      </w:pPr>
      <w:r>
        <w:rPr>
          <w:sz w:val="24"/>
          <w:szCs w:val="24"/>
        </w:rPr>
      </w:r>
    </w:p>
    <w:sectPr>
      <w:footerReference w:type="default" r:id="rId3"/>
      <w:footerReference w:type="first" r:id="rId4"/>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ind w:end="360"/>
      <w:rPr/>
    </w:pPr>
    <w:r>
      <w:rPr>
        <w:sz w:val="16"/>
        <w:szCs w:val="16"/>
      </w:rPr>
      <w:t>n:\legal\mpavlou\2ndqtr\gallupans.doc</w:t>
      <w:tab/>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3</w:t>
    </w:r>
    <w:r>
      <w:rPr>
        <w:rStyle w:val="PageNumber"/>
        <w:sz w:val="24"/>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szCs w:val="24"/>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2000-01-14T17:48:00Z</dcterms:created>
  <dc:creator>Susan Scott</dc:creator>
  <dc:description/>
  <dc:language>en-CA</dc:language>
  <cp:lastModifiedBy>Susan Scott</cp:lastModifiedBy>
  <dcterms:modified xsi:type="dcterms:W3CDTF">2000-01-14T19:00:00Z</dcterms:modified>
  <cp:revision>2</cp:revision>
  <dc:subject/>
  <dc:title>UNITED STATES OF AMERICA</dc:title>
</cp:coreProperties>
</file>