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8"/>
        </w:rPr>
      </w:pPr>
      <w:r>
        <w:rPr>
          <w:rFonts w:cs="Times New Roman" w:ascii="Times New Roman" w:hAnsi="Times New Roman"/>
          <w:b/>
          <w:sz w:val="28"/>
        </w:rPr>
        <w:t>Assignment  and Option Agreement</w:t>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8"/>
        </w:rPr>
      </w:pPr>
      <w:r>
        <w:rPr>
          <w:rFonts w:cs="Times New Roman" w:ascii="Times New Roman" w:hAnsi="Times New Roman"/>
          <w:b/>
          <w:sz w:val="28"/>
        </w:rPr>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rPr>
      </w:pPr>
      <w:r>
        <w:rPr>
          <w:rFonts w:cs="Times New Roman" w:ascii="Times New Roman" w:hAnsi="Times New Roman"/>
          <w:b/>
        </w:rPr>
        <w:t>Dated July __, 2000</w:t>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rPr>
      </w:pPr>
      <w:r>
        <w:rPr>
          <w:rFonts w:cs="Times New Roman" w:ascii="Times New Roman" w:hAnsi="Times New Roman"/>
          <w:b/>
        </w:rPr>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 w:val="left" w:pos="720" w:leader="none"/>
          <w:tab w:val="left" w:pos="1440" w:leader="none"/>
          <w:tab w:val="left" w:pos="2160" w:leader="none"/>
          <w:tab w:val="left" w:pos="2880" w:leader="none"/>
        </w:tabs>
        <w:jc w:val="both"/>
        <w:rPr/>
      </w:pPr>
      <w:r>
        <w:rPr>
          <w:rFonts w:cs="Times New Roman" w:ascii="Times New Roman" w:hAnsi="Times New Roman"/>
          <w:b/>
          <w:sz w:val="22"/>
        </w:rPr>
        <w:tab/>
      </w:r>
      <w:r>
        <w:rPr>
          <w:rFonts w:cs="Times New Roman" w:ascii="Times New Roman" w:hAnsi="Times New Roman"/>
          <w:sz w:val="22"/>
        </w:rPr>
        <w:t xml:space="preserve">WHEREAS, Enron North America Corp., a Delaware corporation, Calumet Power, LLC and Peoples Energy Resources Corp., a Delaware corporation, desire to enter into an agreement for the assignment and/or option to purchase rights to certain equipment, project companies, projects and land, as well as to enter into an agreement concerning the marketing of certain projects, as more fully described in this Agreement; and </w:t>
      </w:r>
    </w:p>
    <w:p>
      <w:pPr>
        <w:pStyle w:val="Header"/>
        <w:tabs>
          <w:tab w:val="clear" w:pos="4320"/>
          <w:tab w:val="clear" w:pos="8640"/>
          <w:tab w:val="left" w:pos="720" w:leader="none"/>
          <w:tab w:val="left" w:pos="1440" w:leader="none"/>
          <w:tab w:val="left" w:pos="216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tab/>
        <w:t>WHEREAS, the parties desire to set forth their respective rights and obligations with respect to the development of such power generation projects.</w:t>
      </w:r>
    </w:p>
    <w:p>
      <w:pPr>
        <w:pStyle w:val="Header"/>
        <w:tabs>
          <w:tab w:val="clear" w:pos="4320"/>
          <w:tab w:val="clear" w:pos="8640"/>
          <w:tab w:val="left" w:pos="720" w:leader="none"/>
          <w:tab w:val="left" w:pos="1440" w:leader="none"/>
          <w:tab w:val="left" w:pos="216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tab/>
        <w:t>NOW THEREFORE, in consideration of the mutual covenants herein contained, and intending to be legally bound, the Parties hereto agree as follows:</w:t>
      </w:r>
    </w:p>
    <w:p>
      <w:pPr>
        <w:pStyle w:val="Header"/>
        <w:tabs>
          <w:tab w:val="clear" w:pos="4320"/>
          <w:tab w:val="clear" w:pos="8640"/>
          <w:tab w:val="left" w:pos="720" w:leader="none"/>
          <w:tab w:val="left" w:pos="1440" w:leader="none"/>
          <w:tab w:val="left" w:pos="216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2"/>
        </w:rPr>
      </w:pPr>
      <w:r>
        <w:rPr>
          <w:rFonts w:cs="Times New Roman" w:ascii="Times New Roman" w:hAnsi="Times New Roman"/>
          <w:b/>
          <w:sz w:val="22"/>
        </w:rPr>
        <w:t>ARTICLE I</w:t>
      </w:r>
    </w:p>
    <w:p>
      <w:pPr>
        <w:pStyle w:val="Header"/>
        <w:tabs>
          <w:tab w:val="clear" w:pos="4320"/>
          <w:tab w:val="clear" w:pos="8640"/>
          <w:tab w:val="left" w:pos="720" w:leader="none"/>
          <w:tab w:val="left" w:pos="1440" w:leader="none"/>
          <w:tab w:val="left" w:pos="2160" w:leader="none"/>
          <w:tab w:val="left" w:pos="2880" w:leader="none"/>
        </w:tabs>
        <w:jc w:val="center"/>
        <w:rPr>
          <w:rFonts w:ascii="Times New Roman" w:hAnsi="Times New Roman" w:cs="Times New Roman"/>
          <w:b/>
          <w:sz w:val="22"/>
          <w:u w:val="single"/>
        </w:rPr>
      </w:pPr>
      <w:r>
        <w:rPr>
          <w:rFonts w:cs="Times New Roman" w:ascii="Times New Roman" w:hAnsi="Times New Roman"/>
          <w:b/>
          <w:sz w:val="22"/>
          <w:u w:val="single"/>
        </w:rPr>
        <w:t>DEFINITIONS</w:t>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b/>
          <w:sz w:val="22"/>
          <w:u w:val="single"/>
        </w:rPr>
      </w:pPr>
      <w:r>
        <w:rPr>
          <w:rFonts w:cs="Times New Roman" w:ascii="Times New Roman" w:hAnsi="Times New Roman"/>
          <w:b/>
          <w:sz w:val="22"/>
          <w:u w:val="single"/>
        </w:rPr>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tab/>
        <w:t>The terms and definitions set forth herein apply when capitalized.</w:t>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160" w:leader="none"/>
          <w:tab w:val="left" w:pos="2880" w:leader="none"/>
        </w:tabs>
        <w:jc w:val="both"/>
        <w:rPr/>
      </w:pPr>
      <w:r>
        <w:rPr>
          <w:rFonts w:cs="Times New Roman" w:ascii="Times New Roman" w:hAnsi="Times New Roman"/>
          <w:sz w:val="22"/>
        </w:rPr>
        <w:tab/>
        <w:t>1.1</w:t>
        <w:tab/>
      </w:r>
      <w:r>
        <w:rPr>
          <w:rFonts w:cs="Times New Roman" w:ascii="Times New Roman" w:hAnsi="Times New Roman"/>
          <w:sz w:val="22"/>
          <w:u w:val="single"/>
        </w:rPr>
        <w:t>Affiliate</w:t>
      </w:r>
      <w:r>
        <w:rPr>
          <w:rFonts w:cs="Times New Roman" w:ascii="Times New Roman" w:hAnsi="Times New Roman"/>
          <w:sz w:val="22"/>
        </w:rPr>
        <w:t xml:space="preserve"> – shall mean a person or entity who, with respect to a specified person or entity, directly or indirectly through one or more intermediaries controls, or is controlled by, or is under common control with, the person or entity specified.  The term “control” (including, with correlative meaning, the terms “controlled by” and “under common control with”), as used with respect to any person, means the possession, directly or indirectly, of the power to direct or cause the direction of the management and policies of such person.  The term “person” as used herein shall mean an individual, a corporation, a limited liability company, a partnership, an association, a joint stock company, a trust, or any incorporated organization.</w:t>
      </w:r>
    </w:p>
    <w:p>
      <w:pPr>
        <w:pStyle w:val="Header"/>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t xml:space="preserve"> </w:t>
      </w:r>
    </w:p>
    <w:p>
      <w:pPr>
        <w:pStyle w:val="Header"/>
        <w:tabs>
          <w:tab w:val="clear" w:pos="4320"/>
          <w:tab w:val="clear" w:pos="8640"/>
        </w:tabs>
        <w:ind w:firstLine="720" w:end="0"/>
        <w:rPr/>
      </w:pPr>
      <w:r>
        <w:rPr>
          <w:rFonts w:cs="Times New Roman" w:ascii="Times New Roman" w:hAnsi="Times New Roman"/>
          <w:sz w:val="22"/>
        </w:rPr>
        <w:t>1.2</w:t>
        <w:tab/>
      </w:r>
      <w:r>
        <w:rPr>
          <w:rFonts w:cs="Times New Roman" w:ascii="Times New Roman" w:hAnsi="Times New Roman"/>
          <w:sz w:val="22"/>
          <w:u w:val="single"/>
        </w:rPr>
        <w:t>Agreement</w:t>
      </w:r>
      <w:r>
        <w:rPr>
          <w:rFonts w:cs="Times New Roman" w:ascii="Times New Roman" w:hAnsi="Times New Roman"/>
          <w:sz w:val="22"/>
        </w:rPr>
        <w:t xml:space="preserve"> – shall mean this Assignment and Option Agreement between ENA and PERC, dated to be effective as of July __, 2000 and any amendments hereto.</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1.3</w:t>
        <w:tab/>
      </w:r>
      <w:r>
        <w:rPr>
          <w:rFonts w:cs="Times New Roman" w:ascii="Times New Roman" w:hAnsi="Times New Roman"/>
          <w:sz w:val="22"/>
          <w:u w:val="single"/>
        </w:rPr>
        <w:t>Business Day</w:t>
      </w:r>
      <w:r>
        <w:rPr>
          <w:rFonts w:cs="Times New Roman" w:ascii="Times New Roman" w:hAnsi="Times New Roman"/>
          <w:sz w:val="22"/>
        </w:rPr>
        <w:t xml:space="preserve"> – shall mean any day that is not (a) a Saturday or Sunday or (b) a day on which banking institutions in Chicago, Illinois or Houston, Texas are not required to be open for business.</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t>1.4</w:t>
        <w:tab/>
      </w:r>
      <w:r>
        <w:rPr>
          <w:rFonts w:cs="Times New Roman" w:ascii="Times New Roman" w:hAnsi="Times New Roman"/>
          <w:sz w:val="22"/>
          <w:u w:val="single"/>
        </w:rPr>
        <w:t>Calumet Option Price</w:t>
      </w:r>
    </w:p>
    <w:p>
      <w:pPr>
        <w:pStyle w:val="Header"/>
        <w:tabs>
          <w:tab w:val="clear" w:pos="4320"/>
          <w:tab w:val="clear" w:pos="8640"/>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1.5</w:t>
        <w:tab/>
      </w:r>
      <w:r>
        <w:rPr>
          <w:rFonts w:cs="Times New Roman" w:ascii="Times New Roman" w:hAnsi="Times New Roman"/>
          <w:sz w:val="22"/>
          <w:u w:val="single"/>
        </w:rPr>
        <w:t>Calumet Project</w:t>
      </w:r>
      <w:r>
        <w:rPr>
          <w:rFonts w:cs="Times New Roman" w:ascii="Times New Roman" w:hAnsi="Times New Roman"/>
          <w:sz w:val="22"/>
        </w:rPr>
        <w:t xml:space="preserve"> – shall mean the proposed power generation project to be located in the City of Chicago, Illinois as described in Exhibit I, attached hereto.</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1.6</w:t>
        <w:tab/>
      </w:r>
      <w:r>
        <w:rPr>
          <w:rFonts w:cs="Times New Roman" w:ascii="Times New Roman" w:hAnsi="Times New Roman"/>
          <w:sz w:val="22"/>
          <w:u w:val="single"/>
        </w:rPr>
        <w:t>Compete</w:t>
      </w:r>
      <w:r>
        <w:rPr>
          <w:rFonts w:cs="Times New Roman" w:ascii="Times New Roman" w:hAnsi="Times New Roman"/>
          <w:sz w:val="22"/>
        </w:rPr>
        <w:t xml:space="preserve"> - shall mean participation by a Party or its Affiliates in the development of any new natural gas fired simple cycle peaking plant or combined cycle power generation project in the AMI that (i) will be located within a one (1) mile radius of the Calumet or Torrence Project, as the case may be, or that (ii) would, if constructed, materially interfere with the costs projected for or viability of any Proposed Site Transaction at the time of its proposal hereunder.</w:t>
      </w:r>
    </w:p>
    <w:p>
      <w:pPr>
        <w:pStyle w:val="Header"/>
        <w:tabs>
          <w:tab w:val="clear" w:pos="4320"/>
          <w:tab w:val="clear" w:pos="8640"/>
        </w:tabs>
        <w:ind w:firstLine="720" w:end="0"/>
        <w:rPr/>
      </w:pPr>
      <w:r>
        <w:rPr>
          <w:rFonts w:cs="Times New Roman" w:ascii="Times New Roman" w:hAnsi="Times New Roman"/>
          <w:sz w:val="22"/>
        </w:rPr>
        <w:t>1.7</w:t>
        <w:tab/>
      </w:r>
      <w:r>
        <w:rPr>
          <w:rFonts w:cs="Times New Roman" w:ascii="Times New Roman" w:hAnsi="Times New Roman"/>
          <w:sz w:val="22"/>
          <w:u w:val="single"/>
        </w:rPr>
        <w:t>Confidentiality Agreement</w:t>
      </w:r>
      <w:r>
        <w:rPr>
          <w:rFonts w:cs="Times New Roman" w:ascii="Times New Roman" w:hAnsi="Times New Roman"/>
          <w:sz w:val="22"/>
        </w:rPr>
        <w:t xml:space="preserve"> – shall mean that certain Confidentiality Agreement between the Parties dated as of November 23, 1999.</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1.8</w:t>
        <w:tab/>
      </w:r>
      <w:r>
        <w:rPr>
          <w:rFonts w:cs="Times New Roman" w:ascii="Times New Roman" w:hAnsi="Times New Roman"/>
          <w:sz w:val="22"/>
          <w:u w:val="single"/>
        </w:rPr>
        <w:t>Conveyance</w:t>
      </w:r>
      <w:r>
        <w:rPr>
          <w:rFonts w:cs="Times New Roman" w:ascii="Times New Roman" w:hAnsi="Times New Roman"/>
          <w:sz w:val="22"/>
        </w:rPr>
        <w:t xml:space="preserve"> – shall have the meaning set forth in Article VI, Section 6.2(c).</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1.9</w:t>
        <w:tab/>
      </w:r>
      <w:r>
        <w:rPr>
          <w:rFonts w:cs="Times New Roman" w:ascii="Times New Roman" w:hAnsi="Times New Roman"/>
          <w:sz w:val="22"/>
          <w:u w:val="single"/>
        </w:rPr>
        <w:t>Definitive Agreements</w:t>
      </w:r>
      <w:r>
        <w:rPr>
          <w:rFonts w:cs="Times New Roman" w:ascii="Times New Roman" w:hAnsi="Times New Roman"/>
          <w:sz w:val="22"/>
        </w:rPr>
        <w:t xml:space="preserve"> – shall mean (i) (ii)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1.10</w:t>
        <w:tab/>
      </w:r>
      <w:r>
        <w:rPr>
          <w:rFonts w:cs="Times New Roman" w:ascii="Times New Roman" w:hAnsi="Times New Roman"/>
          <w:sz w:val="22"/>
          <w:u w:val="single"/>
        </w:rPr>
        <w:t>Effective Date</w:t>
      </w:r>
      <w:r>
        <w:rPr>
          <w:rFonts w:cs="Times New Roman" w:ascii="Times New Roman" w:hAnsi="Times New Roman"/>
          <w:sz w:val="22"/>
        </w:rPr>
        <w:t xml:space="preserve"> – shall mean [  ], 2000.</w:t>
      </w:r>
    </w:p>
    <w:p>
      <w:pPr>
        <w:pStyle w:val="Header"/>
        <w:tabs>
          <w:tab w:val="clear" w:pos="4320"/>
          <w:tab w:val="clear" w:pos="8640"/>
        </w:tabs>
        <w:ind w:firstLine="720" w:end="0"/>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1.11</w:t>
        <w:tab/>
      </w:r>
      <w:r>
        <w:rPr>
          <w:rFonts w:cs="Times New Roman" w:ascii="Times New Roman" w:hAnsi="Times New Roman"/>
          <w:sz w:val="22"/>
          <w:u w:val="single"/>
        </w:rPr>
        <w:t>ENA</w:t>
      </w:r>
      <w:r>
        <w:rPr>
          <w:rFonts w:cs="Times New Roman" w:ascii="Times New Roman" w:hAnsi="Times New Roman"/>
          <w:sz w:val="22"/>
        </w:rPr>
        <w:t xml:space="preserve"> – shall mean Enron North America Corp., a Delaware corporation.</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1.12</w:t>
        <w:tab/>
      </w:r>
      <w:r>
        <w:rPr>
          <w:rFonts w:cs="Times New Roman" w:ascii="Times New Roman" w:hAnsi="Times New Roman"/>
          <w:sz w:val="22"/>
          <w:u w:val="single"/>
        </w:rPr>
        <w:t>Event of Default</w:t>
      </w:r>
      <w:r>
        <w:rPr>
          <w:rFonts w:cs="Times New Roman" w:ascii="Times New Roman" w:hAnsi="Times New Roman"/>
          <w:sz w:val="22"/>
        </w:rPr>
        <w:t xml:space="preserve"> – shall mean any of the events specified in Article VIII, provided that any requirement set forth therein for the giving of notice, the lapse of time, or both, or for the happening of any other conditions, has been satisfied.</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1.13</w:t>
        <w:tab/>
      </w:r>
      <w:r>
        <w:rPr>
          <w:rFonts w:cs="Times New Roman" w:ascii="Times New Roman" w:hAnsi="Times New Roman"/>
          <w:sz w:val="22"/>
          <w:u w:val="single"/>
        </w:rPr>
        <w:t>Marketing Exclusivity Period</w:t>
      </w:r>
      <w:r>
        <w:rPr>
          <w:rFonts w:cs="Times New Roman" w:ascii="Times New Roman" w:hAnsi="Times New Roman"/>
          <w:sz w:val="22"/>
        </w:rPr>
        <w:t xml:space="preserve"> – shall mean the period of exclusive rights to market the Calumet and Torrence Sites as set forth in [Article III, Section 3.3].</w:t>
      </w:r>
    </w:p>
    <w:p>
      <w:pPr>
        <w:pStyle w:val="Header"/>
        <w:tabs>
          <w:tab w:val="clear" w:pos="4320"/>
          <w:tab w:val="clear" w:pos="8640"/>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1.14</w:t>
        <w:tab/>
      </w:r>
      <w:r>
        <w:rPr>
          <w:rFonts w:cs="Times New Roman" w:ascii="Times New Roman" w:hAnsi="Times New Roman"/>
          <w:sz w:val="22"/>
          <w:u w:val="single"/>
        </w:rPr>
        <w:t>Material Adverse Change</w:t>
      </w:r>
      <w:r>
        <w:rPr>
          <w:rFonts w:cs="Times New Roman" w:ascii="Times New Roman" w:hAnsi="Times New Roman"/>
          <w:sz w:val="22"/>
        </w:rPr>
        <w:t xml:space="preserve"> – shall mean (i) a Party or its parent corporation shall have long-term debt unsupported by third party credit enhancement that is rated by Standard &amp; Poor’s Corporation at BB+ or below or by Moody’s at Ba1 or below or (ii) a Party or its parent corporation shall have defaulted on any debt obligations in aggregate of more than $50 million; provided, such Material Adverse Change shall not be considered if the Party so affected (the “Affected Party”) establishes and maintains throughout the Term hereof a letter of credit (naming the other Party as the beneficiary) in an amount acceptable to the other Party.</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1.15</w:t>
        <w:tab/>
      </w:r>
      <w:r>
        <w:rPr>
          <w:rFonts w:cs="Times New Roman" w:ascii="Times New Roman" w:hAnsi="Times New Roman"/>
          <w:sz w:val="22"/>
          <w:u w:val="single"/>
        </w:rPr>
        <w:t>Material Adverse Effect</w:t>
      </w:r>
      <w:r>
        <w:rPr>
          <w:rFonts w:cs="Times New Roman" w:ascii="Times New Roman" w:hAnsi="Times New Roman"/>
          <w:sz w:val="22"/>
        </w:rPr>
        <w:t xml:space="preserve"> – shall mean as to each Party, a material adverse effect on the conditions (financial or otherwise) of the current or future business or operations of such Party.</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1.16</w:t>
        <w:tab/>
      </w:r>
      <w:r>
        <w:rPr>
          <w:rFonts w:cs="Times New Roman" w:ascii="Times New Roman" w:hAnsi="Times New Roman"/>
          <w:sz w:val="22"/>
          <w:u w:val="single"/>
        </w:rPr>
        <w:t>Net Proceeds</w:t>
      </w:r>
      <w:r>
        <w:rPr>
          <w:rFonts w:cs="Times New Roman" w:ascii="Times New Roman" w:hAnsi="Times New Roman"/>
          <w:sz w:val="22"/>
        </w:rPr>
        <w:t xml:space="preserve"> – shall mean [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1.17</w:t>
        <w:tab/>
      </w:r>
      <w:r>
        <w:rPr>
          <w:rFonts w:cs="Times New Roman" w:ascii="Times New Roman" w:hAnsi="Times New Roman"/>
          <w:sz w:val="22"/>
          <w:u w:val="single"/>
        </w:rPr>
        <w:t>Party</w:t>
      </w:r>
      <w:r>
        <w:rPr>
          <w:rFonts w:cs="Times New Roman" w:ascii="Times New Roman" w:hAnsi="Times New Roman"/>
          <w:sz w:val="22"/>
        </w:rPr>
        <w:t xml:space="preserve"> – shall mean ENA or PERC.</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1.18</w:t>
        <w:tab/>
      </w:r>
      <w:r>
        <w:rPr>
          <w:rFonts w:cs="Times New Roman" w:ascii="Times New Roman" w:hAnsi="Times New Roman"/>
          <w:sz w:val="22"/>
          <w:u w:val="single"/>
        </w:rPr>
        <w:t>Participation Notice</w:t>
      </w:r>
      <w:r>
        <w:rPr>
          <w:rFonts w:cs="Times New Roman" w:ascii="Times New Roman" w:hAnsi="Times New Roman"/>
          <w:sz w:val="22"/>
        </w:rPr>
        <w:t xml:space="preserve"> – shall mean the written notice to ENA of PERC’s intend to participate in a proposed Site Transaction.</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1.19</w:t>
        <w:tab/>
      </w:r>
      <w:r>
        <w:rPr>
          <w:rFonts w:cs="Times New Roman" w:ascii="Times New Roman" w:hAnsi="Times New Roman"/>
          <w:sz w:val="22"/>
          <w:u w:val="single"/>
        </w:rPr>
        <w:t>Parties</w:t>
      </w:r>
      <w:r>
        <w:rPr>
          <w:rFonts w:cs="Times New Roman" w:ascii="Times New Roman" w:hAnsi="Times New Roman"/>
          <w:sz w:val="22"/>
        </w:rPr>
        <w:t xml:space="preserve"> – shall mean collectively ENA and PERC.</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1.20</w:t>
        <w:tab/>
      </w:r>
      <w:r>
        <w:rPr>
          <w:rFonts w:cs="Times New Roman" w:ascii="Times New Roman" w:hAnsi="Times New Roman"/>
          <w:sz w:val="22"/>
          <w:u w:val="single"/>
        </w:rPr>
        <w:t>PERC</w:t>
      </w:r>
      <w:r>
        <w:rPr>
          <w:rFonts w:cs="Times New Roman" w:ascii="Times New Roman" w:hAnsi="Times New Roman"/>
          <w:sz w:val="22"/>
        </w:rPr>
        <w:t xml:space="preserve"> – shall mean Peoples Energy Resources Corp., a Delaware corporation, and its wholly owned subsidiary, Calumet Power LLC.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1.21</w:t>
        <w:tab/>
      </w:r>
      <w:r>
        <w:rPr>
          <w:rFonts w:cs="Times New Roman" w:ascii="Times New Roman" w:hAnsi="Times New Roman"/>
          <w:sz w:val="22"/>
          <w:u w:val="single"/>
        </w:rPr>
        <w:t>Project</w:t>
      </w:r>
      <w:r>
        <w:rPr>
          <w:rFonts w:cs="Times New Roman" w:ascii="Times New Roman" w:hAnsi="Times New Roman"/>
          <w:sz w:val="22"/>
        </w:rPr>
        <w:t xml:space="preserve"> – shall mean the Calumet Project and/or the Torrence Project.</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1.22</w:t>
        <w:tab/>
      </w:r>
      <w:r>
        <w:rPr>
          <w:rFonts w:cs="Times New Roman" w:ascii="Times New Roman" w:hAnsi="Times New Roman"/>
          <w:sz w:val="22"/>
          <w:u w:val="single"/>
        </w:rPr>
        <w:t>Project Company</w:t>
      </w:r>
      <w:r>
        <w:rPr>
          <w:rFonts w:cs="Times New Roman" w:ascii="Times New Roman" w:hAnsi="Times New Roman"/>
          <w:sz w:val="22"/>
        </w:rPr>
        <w:t xml:space="preserve"> – shall mean Calumet Power, LLC and/or Torrence Power LLC, individually or collectively, as the context may indicate.</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1.23</w:t>
        <w:tab/>
      </w:r>
      <w:r>
        <w:rPr>
          <w:rFonts w:cs="Times New Roman" w:ascii="Times New Roman" w:hAnsi="Times New Roman"/>
          <w:sz w:val="22"/>
          <w:u w:val="single"/>
        </w:rPr>
        <w:t>Proposed Site Transaction</w:t>
      </w:r>
      <w:r>
        <w:rPr>
          <w:rFonts w:cs="Times New Roman" w:ascii="Times New Roman" w:hAnsi="Times New Roman"/>
          <w:sz w:val="22"/>
        </w:rPr>
        <w:t xml:space="preserve"> – shall mean any transaction involving either the Calumet or Torrence Projects, as set forth in  [Article IV, Section 4.1.]</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1.24</w:t>
        <w:tab/>
      </w:r>
      <w:r>
        <w:rPr>
          <w:rFonts w:cs="Times New Roman" w:ascii="Times New Roman" w:hAnsi="Times New Roman"/>
          <w:sz w:val="22"/>
          <w:u w:val="single"/>
        </w:rPr>
        <w:t>Proposed Site Transaction Summary</w:t>
      </w:r>
      <w:r>
        <w:rPr>
          <w:rFonts w:cs="Times New Roman" w:ascii="Times New Roman" w:hAnsi="Times New Roman"/>
          <w:sz w:val="22"/>
        </w:rPr>
        <w:t xml:space="preserve"> – shall have the meaning set forth in [Article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1.25</w:t>
        <w:tab/>
      </w:r>
      <w:r>
        <w:rPr>
          <w:rFonts w:cs="Times New Roman" w:ascii="Times New Roman" w:hAnsi="Times New Roman"/>
          <w:sz w:val="22"/>
          <w:u w:val="single"/>
        </w:rPr>
        <w:t>Proposed Transaction Notification</w:t>
      </w:r>
      <w:r>
        <w:rPr>
          <w:rFonts w:cs="Times New Roman" w:ascii="Times New Roman" w:hAnsi="Times New Roman"/>
          <w:sz w:val="22"/>
        </w:rPr>
        <w:t xml:space="preserve"> – shall have the meaning set forth in [Article IV, Section 4.4].</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1.26</w:t>
        <w:tab/>
      </w:r>
      <w:r>
        <w:rPr>
          <w:rFonts w:cs="Times New Roman" w:ascii="Times New Roman" w:hAnsi="Times New Roman"/>
          <w:sz w:val="22"/>
          <w:u w:val="single"/>
        </w:rPr>
        <w:t>Termination Date</w:t>
      </w:r>
      <w:r>
        <w:rPr>
          <w:rFonts w:cs="Times New Roman" w:ascii="Times New Roman" w:hAnsi="Times New Roman"/>
          <w:sz w:val="22"/>
        </w:rPr>
        <w:t xml:space="preserve"> – shall have the meaning set forth in Article VII.</w:t>
      </w:r>
    </w:p>
    <w:p>
      <w:pPr>
        <w:pStyle w:val="Header"/>
        <w:tabs>
          <w:tab w:val="clear" w:pos="4320"/>
          <w:tab w:val="clear" w:pos="8640"/>
        </w:tabs>
        <w:ind w:start="720" w:end="0"/>
        <w:rPr>
          <w:rFonts w:ascii="Times New Roman" w:hAnsi="Times New Roman" w:cs="Times New Roman"/>
          <w:sz w:val="22"/>
          <w:u w:val="single"/>
        </w:rPr>
      </w:pPr>
      <w:r>
        <w:rPr>
          <w:rFonts w:cs="Times New Roman" w:ascii="Times New Roman" w:hAnsi="Times New Roman"/>
          <w:sz w:val="22"/>
          <w:u w:val="single"/>
        </w:rPr>
      </w:r>
    </w:p>
    <w:p>
      <w:pPr>
        <w:pStyle w:val="Header"/>
        <w:tabs>
          <w:tab w:val="clear" w:pos="4320"/>
          <w:tab w:val="clear" w:pos="8640"/>
        </w:tabs>
        <w:ind w:start="720" w:end="0"/>
        <w:rPr/>
      </w:pPr>
      <w:r>
        <w:rPr>
          <w:rFonts w:cs="Times New Roman" w:ascii="Times New Roman" w:hAnsi="Times New Roman"/>
          <w:sz w:val="22"/>
        </w:rPr>
        <w:t>1.27</w:t>
        <w:tab/>
      </w:r>
      <w:r>
        <w:rPr>
          <w:rFonts w:cs="Times New Roman" w:ascii="Times New Roman" w:hAnsi="Times New Roman"/>
          <w:sz w:val="22"/>
          <w:u w:val="single"/>
        </w:rPr>
        <w:t>Torrence Option Price</w:t>
      </w:r>
    </w:p>
    <w:p>
      <w:pPr>
        <w:pStyle w:val="Header"/>
        <w:tabs>
          <w:tab w:val="clear" w:pos="4320"/>
          <w:tab w:val="clear" w:pos="8640"/>
        </w:tabs>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Header"/>
        <w:tabs>
          <w:tab w:val="clear" w:pos="4320"/>
          <w:tab w:val="clear" w:pos="8640"/>
        </w:tabs>
        <w:ind w:firstLine="720" w:end="0"/>
        <w:jc w:val="both"/>
        <w:rPr/>
      </w:pPr>
      <w:r>
        <w:rPr>
          <w:rFonts w:cs="Times New Roman" w:ascii="Times New Roman" w:hAnsi="Times New Roman"/>
          <w:sz w:val="22"/>
        </w:rPr>
        <w:t>1.28</w:t>
        <w:tab/>
      </w:r>
      <w:r>
        <w:rPr>
          <w:rFonts w:cs="Times New Roman" w:ascii="Times New Roman" w:hAnsi="Times New Roman"/>
          <w:sz w:val="22"/>
          <w:u w:val="single"/>
        </w:rPr>
        <w:t>Torrence Project</w:t>
      </w:r>
      <w:r>
        <w:rPr>
          <w:rFonts w:cs="Times New Roman" w:ascii="Times New Roman" w:hAnsi="Times New Roman"/>
          <w:sz w:val="22"/>
        </w:rPr>
        <w:t xml:space="preserve"> – shall mean the proposed power generation project to be located [ ], as described in Exhibit l, attached hereto [need defn – to include site and permits].</w:t>
      </w:r>
    </w:p>
    <w:p>
      <w:pPr>
        <w:pStyle w:val="Header"/>
        <w:tabs>
          <w:tab w:val="clear" w:pos="4320"/>
          <w:tab w:val="clear" w:pos="8640"/>
        </w:tabs>
        <w:ind w:firstLine="720" w:end="0"/>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1.29</w:t>
        <w:tab/>
      </w:r>
      <w:r>
        <w:rPr>
          <w:rFonts w:cs="Times New Roman" w:ascii="Times New Roman" w:hAnsi="Times New Roman"/>
          <w:sz w:val="22"/>
          <w:u w:val="single"/>
        </w:rPr>
        <w:t>Transaction Definitive Agreements</w:t>
      </w:r>
      <w:r>
        <w:rPr>
          <w:rFonts w:cs="Times New Roman" w:ascii="Times New Roman" w:hAnsi="Times New Roman"/>
          <w:sz w:val="22"/>
        </w:rPr>
        <w:t xml:space="preserve"> – shall mean the Definitive Agreements for each Transaction and such other agreements that the Parties mutually determine constitute documentation between them that is necessary to conclude the Transaction.</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rPr/>
      </w:pPr>
      <w:r>
        <w:rPr>
          <w:rFonts w:cs="Times New Roman" w:ascii="Times New Roman" w:hAnsi="Times New Roman"/>
          <w:sz w:val="22"/>
        </w:rPr>
        <w:t>1.30</w:t>
        <w:tab/>
      </w:r>
      <w:r>
        <w:rPr>
          <w:rFonts w:cs="Times New Roman" w:ascii="Times New Roman" w:hAnsi="Times New Roman"/>
          <w:sz w:val="22"/>
          <w:u w:val="single"/>
        </w:rPr>
        <w:t xml:space="preserve">Transaction Exclusivity Period </w:t>
      </w:r>
      <w:r>
        <w:rPr>
          <w:rFonts w:cs="Times New Roman" w:ascii="Times New Roman" w:hAnsi="Times New Roman"/>
          <w:sz w:val="22"/>
        </w:rPr>
        <w:t>– shall have the meaning set forth in [Article V, Section 5.2.]</w:t>
      </w:r>
    </w:p>
    <w:p>
      <w:pPr>
        <w:pStyle w:val="Header"/>
        <w:tabs>
          <w:tab w:val="clear" w:pos="4320"/>
          <w:tab w:val="clear" w:pos="8640"/>
        </w:tabs>
        <w:ind w:firstLine="720" w:end="0"/>
        <w:jc w:val="both"/>
        <w:rPr/>
      </w:pPr>
      <w:r>
        <w:rPr>
          <w:rFonts w:cs="Times New Roman" w:ascii="Times New Roman" w:hAnsi="Times New Roman"/>
          <w:sz w:val="22"/>
        </w:rPr>
        <w:t>1.31</w:t>
        <w:tab/>
      </w:r>
      <w:r>
        <w:rPr>
          <w:rFonts w:cs="Times New Roman" w:ascii="Times New Roman" w:hAnsi="Times New Roman"/>
          <w:sz w:val="22"/>
          <w:u w:val="single"/>
        </w:rPr>
        <w:t>Turbine Contract</w:t>
      </w:r>
      <w:r>
        <w:rPr>
          <w:rFonts w:cs="Times New Roman" w:ascii="Times New Roman" w:hAnsi="Times New Roman"/>
          <w:sz w:val="22"/>
        </w:rPr>
        <w:t xml:space="preserve"> – shall have the meaning in Article lll, Section 3.1.</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jc w:val="both"/>
        <w:rPr/>
      </w:pPr>
      <w:r>
        <w:rPr>
          <w:rFonts w:cs="Times New Roman" w:ascii="Times New Roman" w:hAnsi="Times New Roman"/>
          <w:sz w:val="22"/>
        </w:rPr>
        <w:tab/>
        <w:t>1.32</w:t>
        <w:tab/>
      </w:r>
      <w:r>
        <w:rPr>
          <w:rFonts w:cs="Times New Roman" w:ascii="Times New Roman" w:hAnsi="Times New Roman"/>
          <w:sz w:val="22"/>
          <w:u w:val="single"/>
        </w:rPr>
        <w:t>Voting Stock</w:t>
      </w:r>
      <w:r>
        <w:rPr>
          <w:rFonts w:cs="Times New Roman" w:ascii="Times New Roman" w:hAnsi="Times New Roman"/>
          <w:sz w:val="22"/>
        </w:rPr>
        <w:t xml:space="preserve"> – means, with respect to any Party, one or more classes of capital stock, membership interests, trust interests, or similar interests of such Party having general voting power to elect at least a majority of the board of directors, managers, trustees, or similar governing body of such Party (irrespective of whether or not at the time any other class or classes have or might have voting power by reason of the happening of any contingency).</w:t>
      </w:r>
    </w:p>
    <w:p>
      <w:pPr>
        <w:pStyle w:val="Header"/>
        <w:tabs>
          <w:tab w:val="clear" w:pos="4320"/>
          <w:tab w:val="clear" w:pos="8640"/>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firstLine="720" w:end="0"/>
        <w:jc w:val="both"/>
        <w:rPr/>
      </w:pPr>
      <w:r>
        <w:rPr>
          <w:rFonts w:cs="Times New Roman" w:ascii="Times New Roman" w:hAnsi="Times New Roman"/>
          <w:sz w:val="22"/>
        </w:rPr>
        <w:t>1.33</w:t>
        <w:tab/>
      </w:r>
      <w:r>
        <w:rPr>
          <w:rFonts w:cs="Times New Roman" w:ascii="Times New Roman" w:hAnsi="Times New Roman"/>
          <w:sz w:val="22"/>
          <w:u w:val="single"/>
        </w:rPr>
        <w:t>WestLB Documents</w:t>
      </w:r>
      <w:r>
        <w:rPr>
          <w:rFonts w:cs="Times New Roman" w:ascii="Times New Roman" w:hAnsi="Times New Roman"/>
          <w:sz w:val="22"/>
        </w:rPr>
        <w:t xml:space="preserve"> – shall have the meaning [ ].</w:t>
      </w:r>
    </w:p>
    <w:p>
      <w:pPr>
        <w:pStyle w:val="Header"/>
        <w:tabs>
          <w:tab w:val="clear" w:pos="4320"/>
          <w:tab w:val="clear" w:pos="8640"/>
        </w:tabs>
        <w:jc w:val="center"/>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s>
        <w:jc w:val="center"/>
        <w:rPr>
          <w:rFonts w:ascii="Times New Roman" w:hAnsi="Times New Roman" w:cs="Times New Roman"/>
          <w:b/>
          <w:sz w:val="22"/>
        </w:rPr>
      </w:pPr>
      <w:r>
        <w:rPr>
          <w:rFonts w:cs="Times New Roman" w:ascii="Times New Roman" w:hAnsi="Times New Roman"/>
          <w:b/>
          <w:sz w:val="22"/>
        </w:rPr>
        <w:t>ARTICLE II</w:t>
      </w:r>
    </w:p>
    <w:p>
      <w:pPr>
        <w:pStyle w:val="Header"/>
        <w:tabs>
          <w:tab w:val="clear" w:pos="4320"/>
          <w:tab w:val="clear" w:pos="8640"/>
        </w:tabs>
        <w:jc w:val="center"/>
        <w:rPr>
          <w:rFonts w:ascii="Times New Roman" w:hAnsi="Times New Roman" w:cs="Times New Roman"/>
          <w:sz w:val="22"/>
          <w:u w:val="single"/>
        </w:rPr>
      </w:pPr>
      <w:r>
        <w:rPr>
          <w:rFonts w:cs="Times New Roman" w:ascii="Times New Roman" w:hAnsi="Times New Roman"/>
          <w:b/>
          <w:sz w:val="22"/>
          <w:u w:val="single"/>
        </w:rPr>
        <w:t>CONDITIONS PRECEDENT</w:t>
      </w:r>
    </w:p>
    <w:p>
      <w:pPr>
        <w:pStyle w:val="Header"/>
        <w:tabs>
          <w:tab w:val="clear" w:pos="4320"/>
          <w:tab w:val="clear" w:pos="8640"/>
        </w:tabs>
        <w:jc w:val="center"/>
        <w:rPr>
          <w:rFonts w:ascii="Times New Roman" w:hAnsi="Times New Roman" w:cs="Times New Roman"/>
          <w:sz w:val="22"/>
          <w:u w:val="single"/>
        </w:rPr>
      </w:pPr>
      <w:r>
        <w:rPr>
          <w:rFonts w:cs="Times New Roman" w:ascii="Times New Roman" w:hAnsi="Times New Roman"/>
          <w:sz w:val="22"/>
          <w:u w:val="single"/>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2.1</w:t>
        <w:tab/>
      </w:r>
      <w:r>
        <w:rPr>
          <w:rFonts w:cs="Times New Roman" w:ascii="Times New Roman" w:hAnsi="Times New Roman"/>
          <w:sz w:val="22"/>
          <w:u w:val="single"/>
        </w:rPr>
        <w:t>Rights and Obligations of Parties</w:t>
      </w:r>
      <w:r>
        <w:rPr>
          <w:rFonts w:cs="Times New Roman" w:ascii="Times New Roman" w:hAnsi="Times New Roman"/>
          <w:sz w:val="22"/>
        </w:rPr>
        <w:t>.  Each Party’s rights and obligations hereunder including, without limitation, the rights and obligations of the Parties under Articles [ ] shall be subject to the satisfaction of the following conditions precedent:</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630" w:end="0"/>
        <w:rPr>
          <w:rFonts w:ascii="Times New Roman" w:hAnsi="Times New Roman" w:cs="Times New Roman"/>
          <w:sz w:val="22"/>
        </w:rPr>
      </w:pPr>
      <w:r>
        <w:rPr>
          <w:rFonts w:cs="Times New Roman" w:ascii="Times New Roman" w:hAnsi="Times New Roman"/>
          <w:sz w:val="22"/>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jc w:val="both"/>
        <w:rPr>
          <w:rFonts w:ascii="Times New Roman" w:hAnsi="Times New Roman" w:cs="Times New Roman"/>
          <w:sz w:val="22"/>
        </w:rPr>
      </w:pPr>
      <w:r>
        <w:rPr>
          <w:rFonts w:cs="Times New Roman" w:ascii="Times New Roman" w:hAnsi="Times New Roman"/>
          <w:sz w:val="22"/>
        </w:rPr>
        <w:t>PERC and ENA shall have received the final approval of their respective board of directors for this transaction no later than ___, 2000;</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1440" w:end="0"/>
        <w:jc w:val="both"/>
        <w:rPr>
          <w:rFonts w:ascii="Times New Roman" w:hAnsi="Times New Roman" w:cs="Times New Roman"/>
          <w:sz w:val="22"/>
        </w:rPr>
      </w:pPr>
      <w:r>
        <w:rPr>
          <w:rFonts w:cs="Times New Roman" w:ascii="Times New Roman" w:hAnsi="Times New Roman"/>
          <w:sz w:val="22"/>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jc w:val="both"/>
        <w:rPr>
          <w:rFonts w:ascii="Times New Roman" w:hAnsi="Times New Roman" w:cs="Times New Roman"/>
          <w:sz w:val="22"/>
        </w:rPr>
      </w:pPr>
      <w:r>
        <w:rPr>
          <w:rFonts w:cs="Times New Roman" w:ascii="Times New Roman" w:hAnsi="Times New Roman"/>
          <w:sz w:val="22"/>
        </w:rPr>
        <w:t>Each Party shall have duly executed and delivered to each other this Agreement, and this Agreement constitutes the legal, valid and binding obligation of each Party, enforceable against each party in accordance with its terms, except as enforcement thereof may be limited by bankruptcy, insolvency, reorganization, moratorium or similar laws affecting the rights of creditors generally or by limitation upon the availability of equitable remedies; and</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1440" w:end="0"/>
        <w:rPr>
          <w:rFonts w:ascii="Times New Roman" w:hAnsi="Times New Roman" w:cs="Times New Roman"/>
          <w:sz w:val="22"/>
        </w:rPr>
      </w:pPr>
      <w:r>
        <w:rPr>
          <w:rFonts w:cs="Times New Roman" w:ascii="Times New Roman" w:hAnsi="Times New Roman"/>
          <w:sz w:val="22"/>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jc w:val="both"/>
        <w:rPr>
          <w:rFonts w:ascii="Times New Roman" w:hAnsi="Times New Roman" w:cs="Times New Roman"/>
          <w:sz w:val="22"/>
        </w:rPr>
      </w:pPr>
      <w:r>
        <w:rPr>
          <w:rFonts w:cs="Times New Roman" w:ascii="Times New Roman" w:hAnsi="Times New Roman"/>
          <w:sz w:val="22"/>
        </w:rPr>
        <w:t>PERC shall have obtained the amendments to the Turbine Contract as outlined in Exhibit ___.</w:t>
      </w:r>
    </w:p>
    <w:p>
      <w:pPr>
        <w:pStyle w:val="Header"/>
        <w:tabs>
          <w:tab w:val="clear" w:pos="8640"/>
          <w:tab w:val="left" w:pos="1440" w:leader="none"/>
          <w:tab w:val="left" w:pos="2880" w:leader="none"/>
          <w:tab w:val="left" w:pos="3600" w:leader="none"/>
          <w:tab w:val="left" w:pos="4320" w:leader="none"/>
          <w:tab w:val="left" w:pos="5040" w:leader="none"/>
        </w:tabs>
        <w:jc w:val="both"/>
        <w:rPr>
          <w:rFonts w:ascii="Times New Roman" w:hAnsi="Times New Roman" w:cs="Times New Roman"/>
          <w:sz w:val="22"/>
        </w:rPr>
      </w:pPr>
      <w:r>
        <w:rPr>
          <w:rFonts w:cs="Times New Roman" w:ascii="Times New Roman" w:hAnsi="Times New Roman"/>
          <w:sz w:val="22"/>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rPr>
          <w:rFonts w:ascii="Times New Roman" w:hAnsi="Times New Roman" w:cs="Times New Roman"/>
          <w:sz w:val="22"/>
        </w:rPr>
      </w:pPr>
      <w:r>
        <w:rPr>
          <w:rFonts w:cs="Times New Roman" w:ascii="Times New Roman" w:hAnsi="Times New Roman"/>
          <w:sz w:val="22"/>
        </w:rPr>
        <w:t>PERC (or its Affiliates) shall have provided environmental indemnity in a form reasonably satisfactory to ENA for the Sites.</w:t>
      </w:r>
    </w:p>
    <w:p>
      <w:pPr>
        <w:pStyle w:val="Header"/>
        <w:tabs>
          <w:tab w:val="clear" w:pos="8640"/>
          <w:tab w:val="left" w:pos="144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rPr>
          <w:rFonts w:ascii="Times New Roman" w:hAnsi="Times New Roman" w:cs="Times New Roman"/>
          <w:sz w:val="22"/>
        </w:rPr>
      </w:pPr>
      <w:r>
        <w:rPr>
          <w:rFonts w:cs="Times New Roman" w:ascii="Times New Roman" w:hAnsi="Times New Roman"/>
          <w:sz w:val="22"/>
        </w:rPr>
        <w:t>PERC shall have obtained the assignment of [ ] in a form reasonably satisfactory to ENA.</w:t>
      </w:r>
    </w:p>
    <w:p>
      <w:pPr>
        <w:pStyle w:val="Header"/>
        <w:tabs>
          <w:tab w:val="clear" w:pos="8640"/>
          <w:tab w:val="left" w:pos="144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rPr>
          <w:rFonts w:ascii="Times New Roman" w:hAnsi="Times New Roman" w:cs="Times New Roman"/>
          <w:sz w:val="22"/>
        </w:rPr>
      </w:pPr>
      <w:r>
        <w:rPr>
          <w:rFonts w:cs="Times New Roman" w:ascii="Times New Roman" w:hAnsi="Times New Roman"/>
          <w:sz w:val="22"/>
        </w:rPr>
        <w:t>ENA shall have completed due diligence activities related to the Transaction no later than [ ].</w:t>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jc w:val="center"/>
        <w:rPr>
          <w:rFonts w:ascii="Times New Roman" w:hAnsi="Times New Roman" w:cs="Times New Roman"/>
          <w:b/>
          <w:sz w:val="22"/>
        </w:rPr>
      </w:pPr>
      <w:r>
        <w:rPr>
          <w:rFonts w:cs="Times New Roman" w:ascii="Times New Roman" w:hAnsi="Times New Roman"/>
          <w:b/>
          <w:sz w:val="22"/>
        </w:rPr>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jc w:val="center"/>
        <w:rPr>
          <w:rFonts w:ascii="Times New Roman" w:hAnsi="Times New Roman" w:cs="Times New Roman"/>
          <w:b/>
          <w:sz w:val="22"/>
        </w:rPr>
      </w:pPr>
      <w:r>
        <w:rPr>
          <w:rFonts w:cs="Times New Roman" w:ascii="Times New Roman" w:hAnsi="Times New Roman"/>
          <w:b/>
          <w:sz w:val="22"/>
        </w:rPr>
        <w:t>ARTICLE III</w:t>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jc w:val="center"/>
        <w:rPr>
          <w:rFonts w:ascii="Times New Roman" w:hAnsi="Times New Roman" w:cs="Times New Roman"/>
          <w:b/>
          <w:sz w:val="22"/>
          <w:u w:val="single"/>
        </w:rPr>
      </w:pPr>
      <w:r>
        <w:rPr>
          <w:rFonts w:cs="Times New Roman" w:ascii="Times New Roman" w:hAnsi="Times New Roman"/>
          <w:b/>
          <w:sz w:val="22"/>
          <w:u w:val="single"/>
        </w:rPr>
        <w:t>TRANSACTION OVERVIEW; EXCLUSIVITY</w:t>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rPr>
          <w:rFonts w:ascii="Times New Roman" w:hAnsi="Times New Roman" w:cs="Times New Roman"/>
          <w:b/>
          <w:sz w:val="22"/>
          <w:u w:val="single"/>
        </w:rPr>
      </w:pPr>
      <w:r>
        <w:rPr>
          <w:rFonts w:cs="Times New Roman" w:ascii="Times New Roman" w:hAnsi="Times New Roman"/>
          <w:b/>
          <w:sz w:val="22"/>
          <w:u w:val="single"/>
        </w:rPr>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Fonts w:cs="Times New Roman" w:ascii="Times New Roman" w:hAnsi="Times New Roman"/>
          <w:sz w:val="22"/>
        </w:rPr>
        <w:tab/>
        <w:t>3.1</w:t>
        <w:tab/>
      </w:r>
      <w:r>
        <w:rPr>
          <w:rFonts w:cs="Times New Roman" w:ascii="Times New Roman" w:hAnsi="Times New Roman"/>
          <w:sz w:val="22"/>
          <w:u w:val="single"/>
        </w:rPr>
        <w:t>Elements of the Transaction</w:t>
      </w:r>
      <w:r>
        <w:rPr>
          <w:rFonts w:cs="Times New Roman" w:ascii="Times New Roman" w:hAnsi="Times New Roman"/>
          <w:sz w:val="22"/>
        </w:rPr>
        <w:t>.  The Transaction is comprised of the following: (a) assignment of PERC’s rights and obligations under the sales contract among ABB Alstrom Power Inc, Westdeutsche Landesbank Gironzentrale, New York Branch, (“WestLB”) and Calumet Power, LLC. (“CPL”) (the “Turbine Contract”) (b) assignment of PERC’s rights and obligations under WestLB Documents (c) grant of the exclusive right to market [Calumet and Torrence Project]  (d) exclusive option to the Sites (d) option to purchase Voting Shares of CPL and Torrence Power, LLC.</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3.2</w:t>
        <w:tab/>
      </w:r>
      <w:r>
        <w:rPr>
          <w:rFonts w:cs="Times New Roman" w:ascii="Times New Roman" w:hAnsi="Times New Roman"/>
          <w:sz w:val="22"/>
          <w:u w:val="single"/>
        </w:rPr>
        <w:t>Exclusive Negotiations</w:t>
      </w:r>
      <w:r>
        <w:rPr>
          <w:rFonts w:cs="Times New Roman" w:ascii="Times New Roman" w:hAnsi="Times New Roman"/>
          <w:sz w:val="22"/>
        </w:rPr>
        <w:t xml:space="preserve">.  During the period commencing as of the Effective Date and ending as of the earlier of (a) the execution of the Definitive Agreements for the Transaction or (b)  [__________] (such period hereinafter referred to as the “Transaction Exclusivity Period”), the Parties (i) shall negotiate exclusively with each other with respect to the Definitive Agreements for the Transaction and (ii) shall not solicit, make or accept any offers or proposals by third parties to undertake or enter into a similar transaction [except for a Site Transaction].  If the Parties have not executed the Definitive Agreements for the Transaction on or before [___], 2000 or otherwise mutually agreed to extend such date, [what happens?].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keepLines/>
        <w:jc w:val="center"/>
        <w:rPr>
          <w:rFonts w:ascii="Times New Roman" w:hAnsi="Times New Roman" w:cs="Times New Roman"/>
          <w:b/>
          <w:sz w:val="22"/>
        </w:rPr>
      </w:pPr>
      <w:r>
        <w:rPr>
          <w:rFonts w:cs="Times New Roman" w:ascii="Times New Roman" w:hAnsi="Times New Roman"/>
          <w:b/>
          <w:sz w:val="22"/>
        </w:rPr>
        <w:t>ARTICLE IV</w:t>
      </w:r>
    </w:p>
    <w:p>
      <w:pPr>
        <w:pStyle w:val="Heading2"/>
        <w:keepLines/>
        <w:ind w:hanging="0" w:start="0"/>
        <w:rPr>
          <w:rFonts w:ascii="Times New Roman" w:hAnsi="Times New Roman" w:cs="Times New Roman"/>
          <w:sz w:val="22"/>
          <w:u w:val="single"/>
        </w:rPr>
      </w:pPr>
      <w:r>
        <w:rPr>
          <w:rFonts w:cs="Times New Roman" w:ascii="Times New Roman" w:hAnsi="Times New Roman"/>
          <w:sz w:val="22"/>
          <w:u w:val="single"/>
        </w:rPr>
        <w:t>SITE TRANSACTIONS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Header"/>
        <w:numPr>
          <w:ilvl w:val="1"/>
          <w:numId w:val="8"/>
        </w:numPr>
        <w:tabs>
          <w:tab w:val="clear" w:pos="8640"/>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u w:val="single"/>
        </w:rPr>
      </w:pPr>
      <w:r>
        <w:rPr>
          <w:rFonts w:cs="Times New Roman" w:ascii="Times New Roman" w:hAnsi="Times New Roman"/>
          <w:sz w:val="22"/>
          <w:u w:val="single"/>
        </w:rPr>
        <w:t>Exclusive Rights</w:t>
      </w:r>
      <w:r>
        <w:rPr>
          <w:rFonts w:cs="Times New Roman" w:ascii="Times New Roman" w:hAnsi="Times New Roman"/>
          <w:sz w:val="22"/>
        </w:rPr>
        <w:t>.  PERC hereby grants ENA the exclusive authority to market the Calumet and Torrence Projects, and to determine (in its sole discretion) whether to proceed with a Proposed Site Transaction.  A Proposed Site Transaction may include power plant development project(s), site sale(s), site and permit sale(s), or any other use of the Calumet or Torrence Projects which ENA in its sole discretion is of sufficient value to warrant pursuit.</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u w:val="single"/>
        </w:rPr>
      </w:pPr>
      <w:r>
        <w:rPr>
          <w:rFonts w:cs="Times New Roman" w:ascii="Times New Roman" w:hAnsi="Times New Roman"/>
          <w:sz w:val="22"/>
          <w:u w:val="single"/>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jc w:val="both"/>
        <w:rPr/>
      </w:pPr>
      <w:r>
        <w:rPr>
          <w:rFonts w:cs="Times New Roman" w:ascii="Times New Roman" w:hAnsi="Times New Roman"/>
          <w:sz w:val="22"/>
        </w:rPr>
        <w:tab/>
        <w:t>4.2</w:t>
        <w:tab/>
      </w:r>
      <w:r>
        <w:rPr>
          <w:rFonts w:cs="Times New Roman" w:ascii="Times New Roman" w:hAnsi="Times New Roman"/>
          <w:sz w:val="22"/>
          <w:u w:val="single"/>
        </w:rPr>
        <w:t>Selecting Site Transactions</w:t>
      </w:r>
      <w:r>
        <w:rPr>
          <w:rFonts w:cs="Times New Roman" w:ascii="Times New Roman" w:hAnsi="Times New Roman"/>
          <w:sz w:val="22"/>
        </w:rPr>
        <w:t>.  To the extent that ENA determines that a Proposed Site Transaction should be pursued, it shall prepare and deliver to PERC a written description of the Proposed Site Transaction, including relevant information and cost estimates (a “Proposed Site Transaction Summary”.  PERC shall deliver to ENA in writing a Participation Notice within thirty-five (35) Business Days of its receipt of the Proposed Site Transaction Summary, affirming its interest in participating.  If PERC declines to participate or otherwise does not deliver a Participation Notice to ENA within thirty-five (35) Business Days after its receipt of the Proposed Site Transaction Summary, ENA shall have the right but not the obligation to proceed with the Proposed Site Transaction, and PERC shall have waived any rights it may have to participate in such Proposed Site Transaction, except for the right to receive the applicable Option Payment. In the event that ENA wishes to pursue the Proposed Site Transaction, it shall exercise any options it may have under this Agreement in order to pursue the transaction and PERC shall not be permitted to Compete with such Proposed Site Transaction for a period of one year from the date upon which the Proposed Site Transaction Summary was received by PERC. PERC will cooperate with ENA in delivering the documents reasonably required to be delivered by PERC in connection with concluding the Proposed Site Transaction.</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4.5</w:t>
        <w:tab/>
      </w:r>
      <w:r>
        <w:rPr>
          <w:rFonts w:cs="Times New Roman" w:ascii="Times New Roman" w:hAnsi="Times New Roman"/>
          <w:sz w:val="22"/>
          <w:u w:val="single"/>
        </w:rPr>
        <w:t>Projects Initiated by Third Parties</w:t>
      </w:r>
      <w:r>
        <w:rPr>
          <w:rFonts w:cs="Times New Roman" w:ascii="Times New Roman" w:hAnsi="Times New Roman"/>
          <w:sz w:val="22"/>
        </w:rPr>
        <w:t>.  If PERC receives an expression of interest from a third party concerning a possible Proposed Transaction during the Marketing Exclusivity Period, it will notify ENA as soon as practicable and provide all relevant information for consideration of such Proposed Site Transaction.</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u w:val="single"/>
        </w:rPr>
      </w:pPr>
      <w:r>
        <w:rPr>
          <w:rFonts w:cs="Times New Roman" w:ascii="Times New Roman" w:hAnsi="Times New Roman"/>
          <w:sz w:val="22"/>
          <w:u w:val="single"/>
        </w:rPr>
      </w:r>
    </w:p>
    <w:p>
      <w:pPr>
        <w:pStyle w:val="Header"/>
        <w:numPr>
          <w:ilvl w:val="1"/>
          <w:numId w:val="3"/>
        </w:numPr>
        <w:tabs>
          <w:tab w:val="clear" w:pos="8640"/>
          <w:tab w:val="left" w:pos="0" w:leader="none"/>
          <w:tab w:val="left" w:pos="1440" w:leader="none"/>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u w:val="single"/>
        </w:rPr>
        <w:t>Transaction Costs; Net Proceeds.</w:t>
      </w:r>
      <w:r>
        <w:rPr>
          <w:rFonts w:cs="Times New Roman" w:ascii="Times New Roman" w:hAnsi="Times New Roman"/>
          <w:sz w:val="22"/>
        </w:rPr>
        <w:t xml:space="preserve">  Each Party will bear its own costs of investigating, analyzing and evaluating Proposed Site Transactions. If PERC elects to participate in a Proposed Site Transaction, then the costs expended by ENA will be deducted from the gross proceeds of the Transaction.  The Net Proceeds of the Proposed Site Transaction will be shared by ENA and PERC on a fifty/fifty basis.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numPr>
          <w:ilvl w:val="1"/>
          <w:numId w:val="3"/>
        </w:numPr>
        <w:tabs>
          <w:tab w:val="clear" w:pos="8640"/>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u w:val="single"/>
        </w:rPr>
        <w:t>Rights Upon Termination</w:t>
      </w:r>
      <w:r>
        <w:rPr>
          <w:rFonts w:cs="Times New Roman" w:ascii="Times New Roman" w:hAnsi="Times New Roman"/>
          <w:sz w:val="22"/>
        </w:rPr>
        <w:t>.</w:t>
      </w:r>
    </w:p>
    <w:p>
      <w:pPr>
        <w:pStyle w:val="Header"/>
        <w:tabs>
          <w:tab w:val="clear" w:pos="8640"/>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start="720" w:end="0"/>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rFonts w:ascii="Times New Roman" w:hAnsi="Times New Roman" w:cs="Times New Roman"/>
          <w:b/>
          <w:sz w:val="22"/>
        </w:rPr>
      </w:pPr>
      <w:r>
        <w:rPr>
          <w:rFonts w:cs="Times New Roman" w:ascii="Times New Roman" w:hAnsi="Times New Roman"/>
          <w:b/>
          <w:sz w:val="22"/>
        </w:rPr>
        <w:t>ARTICLE V</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rFonts w:ascii="Times New Roman" w:hAnsi="Times New Roman" w:cs="Times New Roman"/>
          <w:b/>
          <w:sz w:val="22"/>
          <w:u w:val="single"/>
        </w:rPr>
      </w:pPr>
      <w:r>
        <w:rPr>
          <w:rFonts w:cs="Times New Roman" w:ascii="Times New Roman" w:hAnsi="Times New Roman"/>
          <w:b/>
          <w:sz w:val="22"/>
          <w:u w:val="single"/>
        </w:rPr>
        <w:t>ASSIGNMENT OF RIGHTS UNDER TURBINE CONTRACT</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rFonts w:ascii="Times New Roman" w:hAnsi="Times New Roman" w:cs="Times New Roman"/>
          <w:b/>
          <w:sz w:val="22"/>
          <w:u w:val="single"/>
        </w:rPr>
      </w:pPr>
      <w:r>
        <w:rPr>
          <w:rFonts w:cs="Times New Roman" w:ascii="Times New Roman" w:hAnsi="Times New Roman"/>
          <w:b/>
          <w:sz w:val="22"/>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5.1</w:t>
        <w:tab/>
      </w:r>
      <w:r>
        <w:rPr>
          <w:rFonts w:cs="Times New Roman" w:ascii="Times New Roman" w:hAnsi="Times New Roman"/>
          <w:sz w:val="22"/>
          <w:u w:val="single"/>
        </w:rPr>
        <w:t>Assignment of Rights and Obligations</w:t>
      </w:r>
      <w:r>
        <w:rPr>
          <w:rFonts w:cs="Times New Roman" w:ascii="Times New Roman" w:hAnsi="Times New Roman"/>
          <w:sz w:val="22"/>
        </w:rPr>
        <w:t xml:space="preserve">.  In consideration of the payment of _____, said payment being due and payable on or before ______, PERC agrees to assign its rights and obligations to ENA (or its designee) under the WestLB Documents and the Turbine Contract.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u w:val="single"/>
        </w:rPr>
      </w:pPr>
      <w:r>
        <w:rPr>
          <w:rFonts w:cs="Times New Roman" w:ascii="Times New Roman" w:hAnsi="Times New Roman"/>
          <w:sz w:val="22"/>
          <w:u w:val="single"/>
        </w:rPr>
      </w:r>
    </w:p>
    <w:p>
      <w:pPr>
        <w:pStyle w:val="Header"/>
        <w:numPr>
          <w:ilvl w:val="1"/>
          <w:numId w:val="5"/>
        </w:numPr>
        <w:tabs>
          <w:tab w:val="clear" w:pos="8640"/>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2"/>
        </w:rPr>
      </w:pPr>
      <w:r>
        <w:rPr>
          <w:rFonts w:cs="Times New Roman" w:ascii="Times New Roman" w:hAnsi="Times New Roman"/>
          <w:sz w:val="22"/>
          <w:u w:val="single"/>
        </w:rPr>
        <w:t>Exclusivity</w:t>
      </w:r>
      <w:r>
        <w:rPr>
          <w:rFonts w:cs="Times New Roman" w:ascii="Times New Roman" w:hAnsi="Times New Roman"/>
          <w:sz w:val="22"/>
        </w:rPr>
        <w:t xml:space="preserve">.  </w:t>
      </w:r>
    </w:p>
    <w:p>
      <w:pPr>
        <w:pStyle w:val="Header"/>
        <w:numPr>
          <w:ilvl w:val="1"/>
          <w:numId w:val="5"/>
        </w:numPr>
        <w:tabs>
          <w:tab w:val="clear" w:pos="8640"/>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2"/>
        </w:rPr>
      </w:pPr>
      <w:r>
        <w:rPr>
          <w:rFonts w:cs="Times New Roman" w:ascii="Times New Roman" w:hAnsi="Times New Roman"/>
          <w:sz w:val="22"/>
          <w:u w:val="single"/>
        </w:rPr>
        <w:t>Conditions</w:t>
      </w:r>
      <w:r>
        <w:rPr>
          <w:rFonts w:cs="Times New Roman" w:ascii="Times New Roman" w:hAnsi="Times New Roman"/>
          <w:sz w:val="22"/>
        </w:rPr>
        <w:t>.</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rFonts w:ascii="Times New Roman" w:hAnsi="Times New Roman" w:cs="Times New Roman"/>
          <w:b/>
          <w:sz w:val="22"/>
        </w:rPr>
      </w:pPr>
      <w:r>
        <w:rPr>
          <w:rFonts w:cs="Times New Roman" w:ascii="Times New Roman" w:hAnsi="Times New Roman"/>
          <w:b/>
          <w:sz w:val="22"/>
        </w:rPr>
        <w:t>ARTICLE VI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rFonts w:ascii="Times New Roman" w:hAnsi="Times New Roman" w:cs="Times New Roman"/>
          <w:sz w:val="22"/>
          <w:u w:val="single"/>
        </w:rPr>
      </w:pPr>
      <w:r>
        <w:rPr>
          <w:rFonts w:cs="Times New Roman" w:ascii="Times New Roman" w:hAnsi="Times New Roman"/>
          <w:b/>
          <w:sz w:val="22"/>
          <w:u w:val="single"/>
        </w:rPr>
        <w:t xml:space="preserve">RIGHTS TO ACQUIRE PROJECT COMPANIES AND SITES  </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u w:val="single"/>
        </w:rPr>
      </w:pPr>
      <w:r>
        <w:rPr>
          <w:rFonts w:cs="Times New Roman" w:ascii="Times New Roman" w:hAnsi="Times New Roman"/>
          <w:sz w:val="22"/>
          <w:u w:val="single"/>
        </w:rPr>
      </w:r>
    </w:p>
    <w:p>
      <w:pPr>
        <w:pStyle w:val="Header"/>
        <w:keepNext w:val="true"/>
        <w:keepLines/>
        <w:tabs>
          <w:tab w:val="clear" w:pos="4320"/>
          <w:tab w:val="clear" w:pos="8640"/>
          <w:tab w:val="left" w:pos="720" w:leader="none"/>
          <w:tab w:val="left" w:pos="1440" w:leader="none"/>
          <w:tab w:val="left" w:pos="2160" w:leader="none"/>
          <w:tab w:val="left" w:pos="2880" w:leader="none"/>
        </w:tabs>
        <w:rPr>
          <w:rFonts w:ascii="Times New Roman" w:hAnsi="Times New Roman" w:cs="Times New Roman"/>
          <w:sz w:val="22"/>
        </w:rPr>
      </w:pPr>
      <w:r>
        <w:rPr>
          <w:rFonts w:cs="Times New Roman" w:ascii="Times New Roman" w:hAnsi="Times New Roman"/>
          <w:sz w:val="22"/>
        </w:rPr>
        <w:tab/>
      </w:r>
    </w:p>
    <w:p>
      <w:pPr>
        <w:pStyle w:val="Normal"/>
        <w:numPr>
          <w:ilvl w:val="1"/>
          <w:numId w:val="6"/>
        </w:numPr>
        <w:rPr>
          <w:rFonts w:ascii="Times New Roman" w:hAnsi="Times New Roman" w:cs="Times New Roman"/>
          <w:sz w:val="22"/>
        </w:rPr>
      </w:pPr>
      <w:r>
        <w:rPr>
          <w:rFonts w:cs="Times New Roman" w:ascii="Times New Roman" w:hAnsi="Times New Roman"/>
          <w:sz w:val="22"/>
          <w:u w:val="single"/>
        </w:rPr>
        <w:t>Grant of Exclusive Option</w:t>
      </w:r>
      <w:r>
        <w:rPr>
          <w:rFonts w:cs="Times New Roman" w:ascii="Times New Roman" w:hAnsi="Times New Roman"/>
          <w:sz w:val="22"/>
        </w:rPr>
        <w:t xml:space="preserve">.  </w:t>
        <w:tab/>
      </w:r>
    </w:p>
    <w:p>
      <w:pPr>
        <w:pStyle w:val="Normal"/>
        <w:numPr>
          <w:ilvl w:val="1"/>
          <w:numId w:val="7"/>
        </w:numPr>
        <w:rPr>
          <w:rFonts w:ascii="Times New Roman" w:hAnsi="Times New Roman" w:cs="Times New Roman"/>
          <w:sz w:val="22"/>
        </w:rPr>
      </w:pPr>
      <w:r>
        <w:rPr>
          <w:rFonts w:cs="Times New Roman" w:ascii="Times New Roman" w:hAnsi="Times New Roman"/>
          <w:sz w:val="22"/>
          <w:u w:val="single"/>
        </w:rPr>
        <w:t>Exercise of Option</w:t>
      </w:r>
      <w:r>
        <w:rPr>
          <w:rFonts w:cs="Times New Roman" w:ascii="Times New Roman" w:hAnsi="Times New Roman"/>
          <w:sz w:val="22"/>
        </w:rPr>
        <w:t>.</w:t>
      </w:r>
    </w:p>
    <w:p>
      <w:pPr>
        <w:pStyle w:val="Header"/>
        <w:tabs>
          <w:tab w:val="clear" w:pos="4320"/>
          <w:tab w:val="clear" w:pos="8640"/>
          <w:tab w:val="left" w:pos="720" w:leader="none"/>
          <w:tab w:val="left" w:pos="1440" w:leader="none"/>
        </w:tabs>
        <w:rPr>
          <w:rFonts w:ascii="Times New Roman" w:hAnsi="Times New Roman" w:cs="Times New Roman"/>
          <w:sz w:val="22"/>
        </w:rPr>
      </w:pPr>
      <w:r>
        <w:rPr>
          <w:rFonts w:cs="Times New Roman" w:ascii="Times New Roman" w:hAnsi="Times New Roman"/>
          <w:sz w:val="22"/>
        </w:rPr>
        <w:tab/>
        <w:tab/>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u w:val="single"/>
        </w:rPr>
      </w:pPr>
      <w:r>
        <w:rPr>
          <w:rFonts w:cs="Times New Roman" w:ascii="Times New Roman" w:hAnsi="Times New Roman"/>
          <w:b/>
          <w:sz w:val="22"/>
        </w:rPr>
        <w:t>ARTICLE VII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u w:val="single"/>
        </w:rPr>
      </w:pPr>
      <w:r>
        <w:rPr>
          <w:rFonts w:cs="Times New Roman" w:ascii="Times New Roman" w:hAnsi="Times New Roman"/>
          <w:b/>
          <w:sz w:val="22"/>
          <w:u w:val="single"/>
        </w:rPr>
        <w:t>TERM</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b/>
          <w:sz w:val="22"/>
          <w:u w:val="single"/>
        </w:rPr>
      </w:pPr>
      <w:r>
        <w:rPr>
          <w:rFonts w:cs="Times New Roman" w:ascii="Times New Roman" w:hAnsi="Times New Roman"/>
          <w:b/>
          <w:sz w:val="22"/>
          <w:u w:val="single"/>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Fonts w:cs="Times New Roman" w:ascii="Times New Roman" w:hAnsi="Times New Roman"/>
          <w:sz w:val="22"/>
        </w:rPr>
        <w:t>7.1</w:t>
        <w:tab/>
      </w:r>
      <w:r>
        <w:rPr>
          <w:rFonts w:cs="Times New Roman" w:ascii="Times New Roman" w:hAnsi="Times New Roman"/>
          <w:sz w:val="22"/>
          <w:u w:val="single"/>
        </w:rPr>
        <w:t>Term</w:t>
      </w:r>
      <w:r>
        <w:rPr>
          <w:rFonts w:cs="Times New Roman" w:ascii="Times New Roman" w:hAnsi="Times New Roman"/>
          <w:sz w:val="22"/>
        </w:rPr>
        <w:t>.  This Agreement shall commence on [July __, 2000] (the Effective Date) and terminate upon the earlier to occur of the following (the “Termination Date”):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[___], 2000, if the Parties have not executed the Definitive Agreements for the Transaction on or before such date;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At any time by either Party, upon the occurrence of an Event of Default, provided that the occurrence of the Event of Default did not arise due to the actions or omissions of the terminating Party;</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rFonts w:ascii="Times New Roman" w:hAnsi="Times New Roman" w:cs="Times New Roman"/>
          <w:sz w:val="22"/>
        </w:rPr>
      </w:pPr>
      <w:r>
        <w:rPr>
          <w:rFonts w:cs="Times New Roman" w:ascii="Times New Roman" w:hAnsi="Times New Roman"/>
          <w:sz w:val="22"/>
        </w:rPr>
        <w:t>January 1, 2003.</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rPr>
      </w:pPr>
      <w:r>
        <w:rPr>
          <w:rFonts w:cs="Times New Roman" w:ascii="Times New Roman" w:hAnsi="Times New Roman"/>
          <w:b/>
          <w:sz w:val="22"/>
        </w:rPr>
        <w:t>ARTICLE VIII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u w:val="single"/>
        </w:rPr>
      </w:pPr>
      <w:r>
        <w:rPr>
          <w:rFonts w:cs="Times New Roman" w:ascii="Times New Roman" w:hAnsi="Times New Roman"/>
          <w:b/>
          <w:sz w:val="22"/>
          <w:u w:val="single"/>
        </w:rPr>
        <w:t>EVENTS OF DEFAULT AND REMEDIES</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b/>
          <w:sz w:val="22"/>
          <w:u w:val="single"/>
        </w:rPr>
      </w:pPr>
      <w:r>
        <w:rPr>
          <w:rFonts w:cs="Times New Roman" w:ascii="Times New Roman" w:hAnsi="Times New Roman"/>
          <w:b/>
          <w:sz w:val="22"/>
          <w:u w:val="single"/>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pPr>
      <w:r>
        <w:rPr>
          <w:rFonts w:cs="Times New Roman" w:ascii="Times New Roman" w:hAnsi="Times New Roman"/>
          <w:sz w:val="22"/>
        </w:rPr>
        <w:t>8.1</w:t>
        <w:tab/>
      </w:r>
      <w:r>
        <w:rPr>
          <w:rFonts w:cs="Times New Roman" w:ascii="Times New Roman" w:hAnsi="Times New Roman"/>
          <w:sz w:val="22"/>
          <w:u w:val="single"/>
        </w:rPr>
        <w:t>Events of Default</w:t>
      </w:r>
      <w:r>
        <w:rPr>
          <w:rFonts w:cs="Times New Roman" w:ascii="Times New Roman" w:hAnsi="Times New Roman"/>
          <w:sz w:val="22"/>
        </w:rPr>
        <w:t>.  Events of Default are those events listed in this Article VIII which shall occur and be continuing:</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rFonts w:ascii="Times New Roman" w:hAnsi="Times New Roman" w:cs="Times New Roman"/>
          <w:sz w:val="22"/>
        </w:rPr>
      </w:pPr>
      <w:r>
        <w:rPr>
          <w:rFonts w:cs="Times New Roman" w:ascii="Times New Roman" w:hAnsi="Times New Roman"/>
          <w:sz w:val="22"/>
        </w:rPr>
      </w:r>
    </w:p>
    <w:p>
      <w:pPr>
        <w:pStyle w:val="Header"/>
        <w:numPr>
          <w:ilvl w:val="0"/>
          <w:numId w:val="9"/>
        </w:numPr>
        <w:tabs>
          <w:tab w:val="clear" w:pos="8640"/>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any representation or warranty made hereunder by either Party shall prove to have been false or misleading in any material respect as of the time made or deemed made and  (i) the effect of such representation or warranty being false or misleading could reasonably be expected to have a Material Adverse Effect and (ii) the fact, circumstance or condition that is the subject matter of such representation or warranty is not corrected to conform with such representation or warranty within thirty days after the Party who has made such representation or warranty becomes aware of such incorrectness;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2"/>
        </w:rPr>
      </w:pPr>
      <w:r>
        <w:rPr>
          <w:rFonts w:cs="Times New Roman" w:ascii="Times New Roman" w:hAnsi="Times New Roman"/>
          <w:sz w:val="22"/>
        </w:rPr>
      </w:r>
    </w:p>
    <w:p>
      <w:pPr>
        <w:pStyle w:val="Header"/>
        <w:numPr>
          <w:ilvl w:val="0"/>
          <w:numId w:val="9"/>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 xml:space="preserve">a Party shall fail to perform or observe any material covenant or obligation, which failure shall continue unremedied for a period of 30 days after the occurrence thereof (or for such longer period not to exceed 90 days as is reasonably required to remedy the particular failure provided the defaulting party is diligently using diligent efforts to cure such failure);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numPr>
          <w:ilvl w:val="0"/>
          <w:numId w:val="9"/>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a Party shall make an assignment for the benefit of creditors or shall generally not be paying its debts as such debts become due;</w:t>
      </w:r>
    </w:p>
    <w:p>
      <w:pPr>
        <w:pStyle w:val="Header"/>
        <w:tabs>
          <w:tab w:val="clear" w:pos="8640"/>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2"/>
        </w:rPr>
      </w:pPr>
      <w:r>
        <w:rPr>
          <w:rFonts w:cs="Times New Roman" w:ascii="Times New Roman" w:hAnsi="Times New Roman"/>
          <w:sz w:val="22"/>
        </w:rPr>
      </w:r>
    </w:p>
    <w:p>
      <w:pPr>
        <w:pStyle w:val="Header"/>
        <w:numPr>
          <w:ilvl w:val="0"/>
          <w:numId w:val="9"/>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(i) any decree or order for relief in respect of any Party shall be entered under any bankruptcy, reorganization, compromise, arrangement, insolvency, readjustment of debt, dissolution or liquidation or similar law, whether now or hereafter in effect (herein called the “Bankruptcy Law”) of any jurisdiction, (ii) any petition or application of the types described in clause (e) below shall be filed, or any such proceeding shall be commenced, against a Party, or a Party by any act, shall indicate its approval, consent thereto or acquiescence therein, or an order, judgment or decree shall be entered appointing any such trustee, receiver, custodian, liquidator or similar official, or approving the petition in any such proceedings, and such order, judgment or decree shall remain unstayed and in effect for more than 60 days, or (iii) any order, judgment or decree shall be entered in any proceedings against a Party decreeing the dissolution of such Party and such order, judgment or decree shall remain unstayed and in effect for more than 60 days;</w:t>
      </w:r>
    </w:p>
    <w:p>
      <w:pPr>
        <w:pStyle w:val="Header"/>
        <w:tabs>
          <w:tab w:val="clear" w:pos="8640"/>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numPr>
          <w:ilvl w:val="0"/>
          <w:numId w:val="9"/>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jc w:val="both"/>
        <w:rPr>
          <w:rFonts w:ascii="Times New Roman" w:hAnsi="Times New Roman" w:cs="Times New Roman"/>
          <w:sz w:val="22"/>
        </w:rPr>
      </w:pPr>
      <w:r>
        <w:rPr>
          <w:rFonts w:cs="Times New Roman" w:ascii="Times New Roman" w:hAnsi="Times New Roman"/>
          <w:sz w:val="22"/>
        </w:rPr>
        <w:t>A Party shall petition or apply to any tribunal for, or shall consent to, the appointment of, or taking possession by, a trustee, receiver, custodian, liquidator or similar official of such Party or of any substantial part of the assets of such Party, or shall commence a voluntary case under the Bankruptcy Law of the United States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numPr>
          <w:ilvl w:val="0"/>
          <w:numId w:val="9"/>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rFonts w:ascii="Times New Roman" w:hAnsi="Times New Roman" w:cs="Times New Roman"/>
          <w:sz w:val="22"/>
        </w:rPr>
      </w:pPr>
      <w:r>
        <w:rPr>
          <w:rFonts w:cs="Times New Roman" w:ascii="Times New Roman" w:hAnsi="Times New Roman"/>
          <w:sz w:val="22"/>
        </w:rPr>
        <w:t>A Material Adverse Change shall have occurred.</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tabs>
          <w:tab w:val="clear" w:pos="8640"/>
          <w:tab w:val="left" w:pos="720" w:leader="none"/>
          <w:tab w:val="left" w:pos="2160" w:leader="none"/>
          <w:tab w:val="left" w:pos="2880" w:leader="none"/>
          <w:tab w:val="left" w:pos="3600" w:leader="none"/>
          <w:tab w:val="left" w:pos="4320" w:leader="none"/>
          <w:tab w:val="left" w:pos="5040" w:leader="none"/>
        </w:tabs>
        <w:jc w:val="both"/>
        <w:rPr/>
      </w:pPr>
      <w:r>
        <w:rPr>
          <w:rFonts w:cs="Times New Roman" w:ascii="Times New Roman" w:hAnsi="Times New Roman"/>
          <w:sz w:val="22"/>
        </w:rPr>
        <w:tab/>
        <w:t xml:space="preserve">8.2        </w:t>
      </w:r>
      <w:r>
        <w:rPr>
          <w:rFonts w:cs="Times New Roman" w:ascii="Times New Roman" w:hAnsi="Times New Roman"/>
          <w:sz w:val="22"/>
          <w:u w:val="single"/>
        </w:rPr>
        <w:t>Remedies</w:t>
      </w:r>
      <w:r>
        <w:rPr>
          <w:rFonts w:cs="Times New Roman" w:ascii="Times New Roman" w:hAnsi="Times New Roman"/>
          <w:sz w:val="22"/>
        </w:rPr>
        <w:t>.  Each of the Parties shall be entitled to terminate this Agreement with respect to any of its obligations upon written notice to the other Party if the other Party, in breach of any of its obligations arising under this Agreement, fails to cure its default within the time permitted herein.</w:t>
      </w:r>
    </w:p>
    <w:p>
      <w:pPr>
        <w:pStyle w:val="Header"/>
        <w:tabs>
          <w:tab w:val="clear" w:pos="8640"/>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ing2"/>
        <w:keepLines/>
        <w:ind w:hanging="0" w:start="0"/>
        <w:rPr>
          <w:rFonts w:ascii="Times New Roman" w:hAnsi="Times New Roman" w:cs="Times New Roman"/>
          <w:sz w:val="22"/>
        </w:rPr>
      </w:pPr>
      <w:r>
        <w:rPr>
          <w:rFonts w:cs="Times New Roman" w:ascii="Times New Roman" w:hAnsi="Times New Roman"/>
          <w:sz w:val="22"/>
        </w:rPr>
        <w:t>ARTICLE IX</w:t>
      </w:r>
    </w:p>
    <w:p>
      <w:pPr>
        <w:pStyle w:val="Heading1"/>
        <w:keepLines/>
        <w:ind w:hanging="0" w:start="0"/>
        <w:rPr>
          <w:rFonts w:ascii="Times New Roman" w:hAnsi="Times New Roman" w:cs="Times New Roman"/>
          <w:sz w:val="22"/>
        </w:rPr>
      </w:pPr>
      <w:r>
        <w:rPr>
          <w:rFonts w:cs="Times New Roman" w:ascii="Times New Roman" w:hAnsi="Times New Roman"/>
          <w:sz w:val="22"/>
        </w:rPr>
        <w:t>REPRESENTATIONS, WARRANTIES AND AFFIRMATIVE COVENANTS</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tabs>
          <w:tab w:val="left" w:pos="720" w:leader="none"/>
          <w:tab w:val="left" w:pos="1440" w:leader="none"/>
          <w:tab w:val="left" w:pos="2160" w:leader="none"/>
          <w:tab w:val="left" w:pos="2880" w:leader="none"/>
          <w:tab w:val="left" w:pos="3600" w:leader="none"/>
        </w:tabs>
        <w:jc w:val="both"/>
        <w:rPr/>
      </w:pPr>
      <w:r>
        <w:rPr/>
        <w:tab/>
      </w:r>
      <w:r>
        <w:rPr>
          <w:rFonts w:cs="Times New Roman" w:ascii="Times New Roman" w:hAnsi="Times New Roman"/>
          <w:sz w:val="22"/>
        </w:rPr>
        <w:t>9.1</w:t>
        <w:tab/>
      </w:r>
      <w:r>
        <w:rPr>
          <w:rFonts w:cs="Times New Roman" w:ascii="Times New Roman" w:hAnsi="Times New Roman"/>
          <w:sz w:val="22"/>
          <w:u w:val="single"/>
        </w:rPr>
        <w:t>Approval and Validity</w:t>
      </w:r>
      <w:r>
        <w:rPr>
          <w:rFonts w:cs="Times New Roman" w:ascii="Times New Roman" w:hAnsi="Times New Roman"/>
          <w:sz w:val="22"/>
        </w:rPr>
        <w:t>. Each Party hereby represents and warrants to the other Party that, subject to [ ] concerning board approval, this Agreement (a) has been validly executed and delivered, (b) has been duly authorized by all action necessary for authorization hereof and (c) is the legal, valid and binding obligation of such Party enforceable in accordance with its terms, except as enforcement thereof may be limited by bankruptcy, including, reorganization, moratorium or similar laws affecting the enforcement of the rights of creditors generally or by limitation upon the availability of equitable remedies.</w:t>
      </w:r>
    </w:p>
    <w:p>
      <w:pPr>
        <w:pStyle w:val="Normal"/>
        <w:tabs>
          <w:tab w:val="left" w:pos="720" w:leader="none"/>
          <w:tab w:val="left" w:pos="1440" w:leader="none"/>
          <w:tab w:val="left" w:pos="2160" w:leader="none"/>
          <w:tab w:val="left" w:pos="2880" w:leader="none"/>
          <w:tab w:val="left" w:pos="3600" w:leader="none"/>
        </w:tabs>
        <w:ind w:firstLine="720" w:end="0"/>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s>
        <w:ind w:firstLine="720" w:end="0"/>
        <w:rPr/>
      </w:pPr>
      <w:r>
        <w:rPr>
          <w:rFonts w:cs="Times New Roman" w:ascii="Times New Roman" w:hAnsi="Times New Roman"/>
          <w:sz w:val="22"/>
        </w:rPr>
        <w:t>9.2</w:t>
        <w:tab/>
      </w:r>
      <w:r>
        <w:rPr>
          <w:rFonts w:cs="Times New Roman" w:ascii="Times New Roman" w:hAnsi="Times New Roman"/>
          <w:sz w:val="22"/>
          <w:u w:val="single"/>
        </w:rPr>
        <w:t>Material Breach and Material Adverse Change</w:t>
      </w:r>
      <w:r>
        <w:rPr>
          <w:rFonts w:cs="Times New Roman" w:ascii="Times New Roman" w:hAnsi="Times New Roman"/>
          <w:sz w:val="22"/>
        </w:rPr>
        <w:t>. ENA and PERC each agree to promptly give written notice to the other upon becoming aware of:</w:t>
      </w:r>
    </w:p>
    <w:p>
      <w:pPr>
        <w:pStyle w:val="Normal"/>
        <w:tabs>
          <w:tab w:val="left" w:pos="720" w:leader="none"/>
          <w:tab w:val="left" w:pos="1440" w:leader="none"/>
          <w:tab w:val="left" w:pos="2160" w:leader="none"/>
          <w:tab w:val="left" w:pos="2880" w:leader="none"/>
          <w:tab w:val="left" w:pos="3600" w:leader="none"/>
        </w:tabs>
        <w:ind w:firstLine="720" w:end="0"/>
        <w:rPr>
          <w:rFonts w:ascii="Times New Roman" w:hAnsi="Times New Roman" w:cs="Times New Roman"/>
          <w:sz w:val="22"/>
        </w:rPr>
      </w:pPr>
      <w:r>
        <w:rPr>
          <w:rFonts w:cs="Times New Roman" w:ascii="Times New Roman" w:hAnsi="Times New Roman"/>
          <w:sz w:val="22"/>
        </w:rPr>
      </w:r>
    </w:p>
    <w:p>
      <w:pPr>
        <w:pStyle w:val="Normal"/>
        <w:numPr>
          <w:ilvl w:val="0"/>
          <w:numId w:val="10"/>
        </w:numPr>
        <w:tabs>
          <w:tab w:val="left" w:pos="720" w:leader="none"/>
          <w:tab w:val="left" w:pos="1440" w:leader="none"/>
          <w:tab w:val="left" w:pos="2160" w:leader="none"/>
          <w:tab w:val="left" w:pos="2880" w:leader="none"/>
          <w:tab w:val="left" w:pos="3600" w:leader="none"/>
        </w:tabs>
        <w:ind w:firstLine="720" w:start="0" w:end="0"/>
        <w:rPr>
          <w:rFonts w:ascii="Times New Roman" w:hAnsi="Times New Roman" w:cs="Times New Roman"/>
          <w:sz w:val="22"/>
        </w:rPr>
      </w:pPr>
      <w:r>
        <w:rPr>
          <w:rFonts w:cs="Times New Roman" w:ascii="Times New Roman" w:hAnsi="Times New Roman"/>
          <w:sz w:val="22"/>
        </w:rPr>
        <w:t>the impending or threatened occurrence of any event that could reasonably be expected to cause a material breach of any provision of this Agreement; or</w:t>
      </w:r>
    </w:p>
    <w:p>
      <w:pPr>
        <w:pStyle w:val="Normal"/>
        <w:tabs>
          <w:tab w:val="left" w:pos="720" w:leader="none"/>
          <w:tab w:val="left" w:pos="1440" w:leader="none"/>
          <w:tab w:val="left" w:pos="2160" w:leader="none"/>
          <w:tab w:val="left" w:pos="2880" w:leader="none"/>
          <w:tab w:val="left" w:pos="3600" w:leader="none"/>
        </w:tabs>
        <w:ind w:firstLine="720" w:end="0"/>
        <w:rPr>
          <w:rFonts w:ascii="Times New Roman" w:hAnsi="Times New Roman" w:cs="Times New Roman"/>
          <w:sz w:val="22"/>
        </w:rPr>
      </w:pPr>
      <w:r>
        <w:rPr>
          <w:rFonts w:cs="Times New Roman" w:ascii="Times New Roman" w:hAnsi="Times New Roman"/>
          <w:sz w:val="22"/>
        </w:rPr>
      </w:r>
    </w:p>
    <w:p>
      <w:pPr>
        <w:pStyle w:val="Normal"/>
        <w:numPr>
          <w:ilvl w:val="0"/>
          <w:numId w:val="10"/>
        </w:numPr>
        <w:tabs>
          <w:tab w:val="left" w:pos="720" w:leader="none"/>
          <w:tab w:val="left" w:pos="1440" w:leader="none"/>
          <w:tab w:val="left" w:pos="2160" w:leader="none"/>
          <w:tab w:val="left" w:pos="2880" w:leader="none"/>
          <w:tab w:val="left" w:pos="3600" w:leader="none"/>
        </w:tabs>
        <w:ind w:firstLine="720" w:start="0" w:end="0"/>
        <w:rPr>
          <w:rFonts w:ascii="Times New Roman" w:hAnsi="Times New Roman" w:cs="Times New Roman"/>
          <w:sz w:val="22"/>
        </w:rPr>
      </w:pPr>
      <w:r>
        <w:rPr>
          <w:rFonts w:cs="Times New Roman" w:ascii="Times New Roman" w:hAnsi="Times New Roman"/>
          <w:sz w:val="22"/>
        </w:rPr>
        <w:t>a Material Adverse Change.</w:t>
      </w:r>
    </w:p>
    <w:p>
      <w:pPr>
        <w:pStyle w:val="Normal"/>
        <w:tabs>
          <w:tab w:val="left" w:pos="720" w:leader="none"/>
          <w:tab w:val="left" w:pos="1440" w:leader="none"/>
          <w:tab w:val="left" w:pos="2880" w:leader="none"/>
          <w:tab w:val="left" w:pos="360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720" w:leader="none"/>
          <w:tab w:val="left" w:pos="1440" w:leader="none"/>
          <w:tab w:val="left" w:pos="2880" w:leader="none"/>
          <w:tab w:val="left" w:pos="3600" w:leader="none"/>
        </w:tabs>
        <w:rPr>
          <w:rFonts w:ascii="Times New Roman" w:hAnsi="Times New Roman" w:cs="Times New Roman"/>
          <w:sz w:val="22"/>
        </w:rPr>
      </w:pPr>
      <w:r>
        <w:rPr>
          <w:rFonts w:cs="Times New Roman" w:ascii="Times New Roman" w:hAnsi="Times New Roman"/>
          <w:sz w:val="22"/>
        </w:rPr>
        <w:tab/>
        <w:t>9.3</w:t>
        <w:tab/>
        <w:t>[other reps]</w:t>
      </w:r>
    </w:p>
    <w:p>
      <w:pPr>
        <w:pStyle w:val="Header"/>
        <w:tabs>
          <w:tab w:val="clear" w:pos="4320"/>
          <w:tab w:val="clear" w:pos="8640"/>
          <w:tab w:val="left" w:pos="720" w:leader="none"/>
          <w:tab w:val="left" w:pos="1440" w:leader="none"/>
          <w:tab w:val="left" w:pos="2160" w:leader="none"/>
          <w:tab w:val="left" w:pos="2880" w:leader="none"/>
          <w:tab w:val="left" w:pos="3600" w:leader="none"/>
        </w:tabs>
        <w:jc w:val="center"/>
        <w:rPr>
          <w:rFonts w:ascii="Times New Roman" w:hAnsi="Times New Roman" w:cs="Times New Roman"/>
          <w:b/>
          <w:sz w:val="22"/>
        </w:rPr>
      </w:pPr>
      <w:r>
        <w:rPr>
          <w:rFonts w:cs="Times New Roman" w:ascii="Times New Roman" w:hAnsi="Times New Roman"/>
          <w:b/>
          <w:sz w:val="22"/>
        </w:rPr>
        <w:t>ARTICLE X</w:t>
      </w:r>
    </w:p>
    <w:p>
      <w:pPr>
        <w:pStyle w:val="Header"/>
        <w:tabs>
          <w:tab w:val="clear" w:pos="4320"/>
          <w:tab w:val="clear" w:pos="8640"/>
          <w:tab w:val="left" w:pos="720" w:leader="none"/>
          <w:tab w:val="left" w:pos="1440" w:leader="none"/>
          <w:tab w:val="left" w:pos="2160" w:leader="none"/>
          <w:tab w:val="left" w:pos="2880" w:leader="none"/>
          <w:tab w:val="left" w:pos="3600" w:leader="none"/>
        </w:tabs>
        <w:jc w:val="center"/>
        <w:rPr>
          <w:rFonts w:ascii="Times New Roman" w:hAnsi="Times New Roman" w:cs="Times New Roman"/>
          <w:b/>
          <w:sz w:val="22"/>
          <w:u w:val="single"/>
        </w:rPr>
      </w:pPr>
      <w:r>
        <w:rPr>
          <w:rFonts w:cs="Times New Roman" w:ascii="Times New Roman" w:hAnsi="Times New Roman"/>
          <w:b/>
          <w:sz w:val="22"/>
          <w:u w:val="single"/>
        </w:rPr>
        <w:t>LIMITATION ON DAMAGES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b/>
          <w:sz w:val="22"/>
          <w:u w:val="single"/>
        </w:rPr>
      </w:pPr>
      <w:r>
        <w:rPr>
          <w:rFonts w:cs="Times New Roman" w:ascii="Times New Roman" w:hAnsi="Times New Roman"/>
          <w:b/>
          <w:sz w:val="22"/>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both"/>
        <w:rPr>
          <w:rFonts w:ascii="Times New Roman" w:hAnsi="Times New Roman" w:cs="Times New Roman"/>
          <w:sz w:val="22"/>
        </w:rPr>
      </w:pPr>
      <w:r>
        <w:rPr>
          <w:rFonts w:cs="Times New Roman" w:ascii="Times New Roman" w:hAnsi="Times New Roman"/>
          <w:sz w:val="22"/>
        </w:rPr>
        <w:t>The Parties agree that either Party’s liability for violation of any provision of this Agreement or for any other claim related to this Agreement shall be limited to direct actual damages only, such direct actual damages shall be the sole and exclusive remedy and all other remedies or damages at law or in equity (except as set forth in the last sentence of this Article X) are waived.  No Party shall be liable for consequential, incidental, punitive, exemplary or indirect damages, lost profits or other business interruption damages, by statute, in tort or contract, under any indemnity provision or otherwise.  Each Party acknowledges that remedies at law may be inadequate to protect against any actual or threatened breach of Article IV and each Party agrees to the granting of equitable relief in favor of the non breaching Party without actual proof of damages.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rFonts w:ascii="Times New Roman" w:hAnsi="Times New Roman" w:cs="Times New Roman"/>
          <w:sz w:val="22"/>
        </w:rPr>
      </w:pPr>
      <w:r>
        <w:rPr>
          <w:rFonts w:cs="Times New Roman" w:ascii="Times New Roman" w:hAnsi="Times New Roman"/>
          <w:sz w:val="22"/>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rFonts w:ascii="Times New Roman" w:hAnsi="Times New Roman" w:cs="Times New Roman"/>
          <w:b/>
          <w:sz w:val="22"/>
        </w:rPr>
      </w:pPr>
      <w:r>
        <w:rPr>
          <w:rFonts w:cs="Times New Roman" w:ascii="Times New Roman" w:hAnsi="Times New Roman"/>
          <w:b/>
          <w:sz w:val="22"/>
        </w:rPr>
        <w:t>ARTICLE XI</w:t>
      </w:r>
    </w:p>
    <w:p>
      <w:pPr>
        <w:pStyle w:val="Header"/>
        <w:keepNext w:val="true"/>
        <w:keepLines/>
        <w:tabs>
          <w:tab w:val="clear" w:pos="4320"/>
          <w:tab w:val="clear" w:pos="8640"/>
          <w:tab w:val="left" w:pos="720" w:leader="none"/>
          <w:tab w:val="left" w:pos="1440" w:leader="none"/>
          <w:tab w:val="left" w:pos="2160" w:leader="none"/>
          <w:tab w:val="left" w:pos="2880" w:leader="none"/>
          <w:tab w:val="left" w:pos="3600" w:leader="none"/>
        </w:tabs>
        <w:jc w:val="center"/>
        <w:rPr>
          <w:rFonts w:ascii="Times New Roman" w:hAnsi="Times New Roman" w:cs="Times New Roman"/>
          <w:b/>
          <w:sz w:val="22"/>
          <w:u w:val="single"/>
        </w:rPr>
      </w:pPr>
      <w:r>
        <w:rPr>
          <w:rFonts w:cs="Times New Roman" w:ascii="Times New Roman" w:hAnsi="Times New Roman"/>
          <w:b/>
          <w:sz w:val="22"/>
          <w:u w:val="single"/>
        </w:rPr>
        <w:t>MISCELLANEOUS</w:t>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b/>
          <w:sz w:val="22"/>
          <w:u w:val="single"/>
        </w:rPr>
      </w:pPr>
      <w:r>
        <w:rPr>
          <w:rFonts w:cs="Times New Roman" w:ascii="Times New Roman" w:hAnsi="Times New Roman"/>
          <w:b/>
          <w:sz w:val="22"/>
          <w:u w:val="single"/>
        </w:rPr>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rFonts w:cs="Times New Roman" w:ascii="Times New Roman" w:hAnsi="Times New Roman"/>
          <w:color w:val="000000"/>
          <w:spacing w:val="-2"/>
          <w:sz w:val="22"/>
        </w:rPr>
        <w:tab/>
        <w:t>11.1</w:t>
        <w:tab/>
      </w:r>
      <w:r>
        <w:rPr>
          <w:rFonts w:cs="Times New Roman" w:ascii="Times New Roman" w:hAnsi="Times New Roman"/>
          <w:color w:val="000000"/>
          <w:spacing w:val="-2"/>
          <w:sz w:val="22"/>
          <w:u w:val="single"/>
        </w:rPr>
        <w:t>No Restraints on the Parties</w:t>
      </w:r>
      <w:r>
        <w:rPr>
          <w:rFonts w:cs="Times New Roman" w:ascii="Times New Roman" w:hAnsi="Times New Roman"/>
          <w:color w:val="000000"/>
          <w:spacing w:val="-2"/>
          <w:sz w:val="22"/>
        </w:rPr>
        <w:t>.</w:t>
      </w:r>
    </w:p>
    <w:p>
      <w:pPr>
        <w:pStyle w:val="Header"/>
        <w:keepNext w:val="true"/>
        <w:keepLines/>
        <w:tabs>
          <w:tab w:val="clear" w:pos="8640"/>
          <w:tab w:val="left" w:pos="720" w:leader="none"/>
          <w:tab w:val="left" w:pos="2160" w:leader="none"/>
          <w:tab w:val="left" w:pos="2880" w:leader="none"/>
          <w:tab w:val="left" w:pos="3600" w:leader="none"/>
          <w:tab w:val="left" w:pos="4320" w:leader="none"/>
          <w:tab w:val="left" w:pos="5040" w:leader="none"/>
        </w:tabs>
        <w:ind w:start="810" w:end="0"/>
        <w:jc w:val="both"/>
        <w:rPr>
          <w:rFonts w:ascii="Times New Roman" w:hAnsi="Times New Roman" w:cs="Times New Roman"/>
          <w:color w:val="000000"/>
          <w:spacing w:val="-2"/>
          <w:sz w:val="22"/>
        </w:rPr>
      </w:pPr>
      <w:r>
        <w:rPr>
          <w:rFonts w:cs="Times New Roman" w:ascii="Times New Roman" w:hAnsi="Times New Roman"/>
          <w:color w:val="000000"/>
          <w:spacing w:val="-2"/>
          <w:sz w:val="22"/>
        </w:rPr>
      </w:r>
    </w:p>
    <w:p>
      <w:pPr>
        <w:pStyle w:val="Header"/>
        <w:keepNext w:val="true"/>
        <w:keepLines/>
        <w:tabs>
          <w:tab w:val="clear" w:pos="8640"/>
          <w:tab w:val="left" w:pos="720" w:leader="none"/>
          <w:tab w:val="left" w:pos="2160" w:leader="none"/>
          <w:tab w:val="left" w:pos="2880" w:leader="none"/>
          <w:tab w:val="left" w:pos="3600" w:leader="none"/>
          <w:tab w:val="left" w:pos="4320" w:leader="none"/>
          <w:tab w:val="left" w:pos="5040" w:leader="none"/>
        </w:tabs>
        <w:ind w:start="810" w:end="0"/>
        <w:jc w:val="both"/>
        <w:rPr>
          <w:rFonts w:ascii="Times New Roman" w:hAnsi="Times New Roman" w:cs="Times New Roman"/>
          <w:color w:val="000000"/>
          <w:spacing w:val="-2"/>
          <w:sz w:val="22"/>
        </w:rPr>
      </w:pPr>
      <w:r>
        <w:rPr>
          <w:rFonts w:cs="Times New Roman" w:ascii="Times New Roman" w:hAnsi="Times New Roman"/>
          <w:color w:val="000000"/>
          <w:spacing w:val="-2"/>
          <w:sz w:val="22"/>
        </w:rPr>
        <w:t xml:space="preserve">(a)        Except as expressly set forth in this Agreement, including, without limitation [Articles III, IV, and V], nothing in this Agreement shall in any way act as a restraint on any present or future business activities or investments of a Party or its respective Affiliates.  Except as expressly set forth in this Agreement, no Party shall, under any circumstances, be obligated or bound to offer or present to the other Party any business opportunity presented or offered to such Party as a prerequisite to the acquisition of, or investment in, such business opportunity by such Party for its own account or for the account of others. Except as expressly set forth in this Agreement, neither Party shall have any rights by virtue of this Agreement in any business venture of the other Party or its Affiliates. </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ind w:start="1440" w:end="0"/>
        <w:rPr>
          <w:rFonts w:ascii="Times New Roman" w:hAnsi="Times New Roman" w:cs="Times New Roman"/>
          <w:color w:val="000000"/>
          <w:spacing w:val="-2"/>
          <w:sz w:val="22"/>
        </w:rPr>
      </w:pPr>
      <w:r>
        <w:rPr>
          <w:rFonts w:cs="Times New Roman" w:ascii="Times New Roman" w:hAnsi="Times New Roman"/>
          <w:color w:val="000000"/>
          <w:spacing w:val="-2"/>
          <w:sz w:val="22"/>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Times New Roman" w:hAnsi="Times New Roman" w:cs="Times New Roman"/>
          <w:sz w:val="22"/>
        </w:rPr>
      </w:pPr>
      <w:r>
        <w:rPr>
          <w:rFonts w:cs="Times New Roman" w:ascii="Times New Roman" w:hAnsi="Times New Roman"/>
          <w:color w:val="000000"/>
          <w:spacing w:val="-2"/>
          <w:sz w:val="22"/>
        </w:rPr>
        <w:tab/>
        <w:t xml:space="preserve">(b)  </w:t>
        <w:tab/>
        <w:t>Neither Party nor any of its Affiliates will use any Confidential Information as such term is defined in the Confidential Agreements obtained pursuant to this Agreement for any other purpose than to evaluate or participate in the development of Projects hereunder. Notwithstanding any other provision of this Agreement, the terms of the Confidentiality Agreement remain in force and effect.</w:t>
      </w:r>
    </w:p>
    <w:p>
      <w:pPr>
        <w:pStyle w:val="Normal"/>
        <w:tabs>
          <w:tab w:val="clear" w:pos="720"/>
          <w:tab w:val="left" w:pos="1440" w:leader="none"/>
        </w:tabs>
        <w:jc w:val="both"/>
        <w:rPr>
          <w:rFonts w:ascii="Times New Roman" w:hAnsi="Times New Roman" w:cs="Times New Roman"/>
          <w:color w:val="000000"/>
          <w:spacing w:val="-2"/>
          <w:sz w:val="22"/>
        </w:rPr>
      </w:pPr>
      <w:r>
        <w:rPr>
          <w:rFonts w:cs="Times New Roman" w:ascii="Times New Roman" w:hAnsi="Times New Roman"/>
          <w:color w:val="000000"/>
          <w:spacing w:val="-2"/>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11.2</w:t>
        <w:tab/>
      </w:r>
      <w:r>
        <w:rPr>
          <w:rFonts w:cs="Times New Roman" w:ascii="Times New Roman" w:hAnsi="Times New Roman"/>
          <w:sz w:val="22"/>
          <w:u w:val="single"/>
        </w:rPr>
        <w:t>Management Approvals</w:t>
      </w:r>
      <w:r>
        <w:rPr>
          <w:rFonts w:cs="Times New Roman" w:ascii="Times New Roman" w:hAnsi="Times New Roman"/>
          <w:sz w:val="22"/>
        </w:rPr>
        <w:t>.  [Except for..] No Party shall be bound to enter into any Project Company until (a) the Board of Directors of ENA and the Board of Directors of PERC and each Party’s authorized officer(s) shall have approved this Transaction, (b) each Party shall have executed and delivered the Definitive Agreements related to such Project Company, and (c) all other necessary third party consents and conditions precedent to the effectiveness of any such Definitive Agreements shall have been received or satisfied, including the obtaining of any and all requisite regulatory orders or approvals, if any, which are satisfactory in form and substance to the Parties.</w:t>
      </w:r>
    </w:p>
    <w:p>
      <w:pPr>
        <w:pStyle w:val="Normal"/>
        <w:jc w:val="both"/>
        <w:rPr>
          <w:rFonts w:ascii="Times New Roman" w:hAnsi="Times New Roman" w:cs="Times New Roman"/>
          <w:spacing w:val="-3"/>
          <w:sz w:val="22"/>
          <w:u w:val="single"/>
        </w:rPr>
      </w:pPr>
      <w:r>
        <w:rPr>
          <w:rFonts w:cs="Times New Roman" w:ascii="Times New Roman" w:hAnsi="Times New Roman"/>
          <w:spacing w:val="-3"/>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pacing w:val="-3"/>
          <w:sz w:val="22"/>
        </w:rPr>
        <w:tab/>
        <w:t>11.3</w:t>
        <w:tab/>
      </w:r>
      <w:r>
        <w:rPr>
          <w:rFonts w:cs="Times New Roman" w:ascii="Times New Roman" w:hAnsi="Times New Roman"/>
          <w:spacing w:val="-3"/>
          <w:sz w:val="22"/>
          <w:u w:val="single"/>
        </w:rPr>
        <w:t>Relationship of the Parties</w:t>
      </w:r>
      <w:r>
        <w:rPr>
          <w:rFonts w:cs="Times New Roman" w:ascii="Times New Roman" w:hAnsi="Times New Roman"/>
          <w:spacing w:val="-3"/>
          <w:sz w:val="22"/>
        </w:rPr>
        <w:t xml:space="preserve">.  </w:t>
      </w:r>
      <w:r>
        <w:rPr>
          <w:rFonts w:cs="Times New Roman" w:ascii="Times New Roman" w:hAnsi="Times New Roman"/>
          <w:sz w:val="22"/>
        </w:rPr>
        <w:t xml:space="preserve">This Agreement shall neither constitute, nor be construed or implied to constitute, the Parties or their respective Affiliates as partners, joint venturers, agents or representatives of one another, nor as fiduciaries or trustees for one another, nor as having any duties or obligations to one another other than as expressly provided for by this Agreement.  No Party shall have the legal or equitable power or authority, express or implied, to act on behalf of, or to bind, the other Party or its Affiliates without such other Party’s or Affiliates’ prior written consent and instruction to take a specific action on its behalf.  No Party shall make any express or implied representation to other persons or entities that could reasonably be construed or interpreted as indicating that any relationship exists between the Parties and respective Affiliates. </w:t>
      </w:r>
    </w:p>
    <w:p>
      <w:pPr>
        <w:pStyle w:val="Normal"/>
        <w:rPr>
          <w:rFonts w:ascii="Times New Roman" w:hAnsi="Times New Roman" w:cs="Times New Roman"/>
          <w:b/>
          <w:sz w:val="22"/>
        </w:rPr>
      </w:pPr>
      <w:r>
        <w:rPr>
          <w:rFonts w:cs="Times New Roman" w:ascii="Times New Roman" w:hAnsi="Times New Roman"/>
          <w:b/>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11.4</w:t>
        <w:tab/>
      </w:r>
      <w:r>
        <w:rPr>
          <w:rFonts w:cs="Times New Roman" w:ascii="Times New Roman" w:hAnsi="Times New Roman"/>
          <w:sz w:val="22"/>
          <w:u w:val="single"/>
        </w:rPr>
        <w:t>Entire Agreement</w:t>
      </w:r>
      <w:r>
        <w:rPr>
          <w:rFonts w:cs="Times New Roman" w:ascii="Times New Roman" w:hAnsi="Times New Roman"/>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between the Parties.</w:t>
      </w:r>
    </w:p>
    <w:p>
      <w:pPr>
        <w:pStyle w:val="Normal"/>
        <w:tabs>
          <w:tab w:val="left" w:pos="720" w:leader="none"/>
          <w:tab w:val="left" w:pos="1440" w:leader="none"/>
          <w:tab w:val="left" w:pos="2160" w:leader="none"/>
        </w:tabs>
        <w:jc w:val="both"/>
        <w:rPr>
          <w:rFonts w:ascii="Times New Roman" w:hAnsi="Times New Roman" w:cs="Times New Roman"/>
          <w:b/>
          <w:sz w:val="22"/>
        </w:rPr>
      </w:pPr>
      <w:r>
        <w:rPr>
          <w:rFonts w:cs="Times New Roman" w:ascii="Times New Roman" w:hAnsi="Times New Roman"/>
          <w:b/>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11.5</w:t>
        <w:tab/>
      </w: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ILLINOIS, WITHOUT GIVING EFFECT TO PRINCIPLES OF CONFLICTS-OF-LAWS.</w:t>
      </w:r>
    </w:p>
    <w:p>
      <w:pPr>
        <w:pStyle w:val="Normal"/>
        <w:tabs>
          <w:tab w:val="left" w:pos="720" w:leader="none"/>
          <w:tab w:val="left" w:pos="1440" w:leader="none"/>
          <w:tab w:val="left" w:pos="2160" w:leader="none"/>
        </w:tabs>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11.6</w:t>
        <w:tab/>
      </w:r>
      <w:r>
        <w:rPr>
          <w:rFonts w:cs="Times New Roman" w:ascii="Times New Roman" w:hAnsi="Times New Roman"/>
          <w:sz w:val="22"/>
          <w:u w:val="single"/>
        </w:rPr>
        <w:t>Independent Contractor; Use of Names</w:t>
      </w:r>
      <w:r>
        <w:rPr>
          <w:rFonts w:cs="Times New Roman" w:ascii="Times New Roman" w:hAnsi="Times New Roman"/>
          <w:sz w:val="22"/>
        </w:rPr>
        <w:t>.  Each Party and its representatives shall be an independent contractor with respect to the other Party , and no Party shall be deemed to be the servant, employee or agent of any other Party.  No Party shall have the right to utilize the other Party’s name in connection with this Agreement or otherwise without the prior written consent of such Party.</w:t>
      </w:r>
    </w:p>
    <w:p>
      <w:pPr>
        <w:pStyle w:val="Normal"/>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11.7</w:t>
        <w:tab/>
      </w:r>
      <w:r>
        <w:rPr>
          <w:rFonts w:cs="Times New Roman" w:ascii="Times New Roman" w:hAnsi="Times New Roman"/>
          <w:sz w:val="22"/>
          <w:u w:val="single"/>
        </w:rPr>
        <w:t>Assignment</w:t>
      </w:r>
      <w:r>
        <w:rPr>
          <w:rFonts w:cs="Times New Roman" w:ascii="Times New Roman" w:hAnsi="Times New Roman"/>
          <w:sz w:val="22"/>
        </w:rPr>
        <w:t>.  This Agreement shall not be assigned or transferred in any way whatsoever by any Party except (a) to an Affiliate of such Party, (b) to a Party’s designee for financing purposes, or (c) with the prior written consent of the other Party, which consent such Party shall be under no obligation to grant.  Subject to the preceding sentence, this Agreement shall be binding on and inure to the benefit of the Parties hereto and their respective successors and permitted assigns.</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11.8</w:t>
        <w:tab/>
      </w:r>
      <w:r>
        <w:rPr>
          <w:rFonts w:cs="Times New Roman" w:ascii="Times New Roman" w:hAnsi="Times New Roman"/>
          <w:sz w:val="22"/>
          <w:u w:val="single"/>
        </w:rPr>
        <w:t>Arbitration</w:t>
      </w:r>
      <w:r>
        <w:rPr>
          <w:rFonts w:cs="Times New Roman" w:ascii="Times New Roman" w:hAnsi="Times New Roman"/>
          <w:sz w:val="22"/>
        </w:rPr>
        <w:t>.  Any dispute or need of interpretation arising out of this Agreement shall be submitted to binding arbitration by one arbitrator who has not previously been employed by any Party, and does not have a direct or indirect interest in any Party or the subject matter of the arbitration.  Such arbitrator shall either be as mutually agreed by the Parties within thirty (30) days after written notice from the Party requesting arbitration, or failing agreement, shall be selected under the expedited rules of the American Arbitration Association (the “</w:t>
      </w:r>
      <w:r>
        <w:rPr>
          <w:rFonts w:cs="Times New Roman" w:ascii="Times New Roman" w:hAnsi="Times New Roman"/>
          <w:sz w:val="22"/>
          <w:u w:val="single"/>
        </w:rPr>
        <w:t>AAA”</w:t>
      </w:r>
      <w:r>
        <w:rPr>
          <w:rFonts w:cs="Times New Roman" w:ascii="Times New Roman" w:hAnsi="Times New Roman"/>
          <w:sz w:val="22"/>
        </w:rPr>
        <w:t>.)  The rules of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each Party shall divide equally the cost of the arbitrator and the hearing and each Party shall be responsible for its own expenses and those of its counsel and representatives, (d) evidence concerning the financial position or organizational make-up of the Parties, any offer made or the details of any negotiation prior to arbitration and the cost to the Parties of their representatives and counsel shall not be permissible, and (e) all arbitration proceedings shall be held in Chicago, Illinois.  Notwithstanding the foregoing, the non-defaulting Party hereunder shall be entitled to exercise any and all rights and remedies at law or in equity prior to, contemporaneously with or following any breach, default, or failure to perform by the defaulting Party hereunder.</w:t>
      </w:r>
    </w:p>
    <w:p>
      <w:pPr>
        <w:pStyle w:val="Normal"/>
        <w:tabs>
          <w:tab w:val="clear" w:pos="720"/>
          <w:tab w:val="left" w:pos="1440" w:leader="none"/>
        </w:tabs>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11.9</w:t>
        <w:tab/>
      </w:r>
      <w:r>
        <w:rPr>
          <w:rFonts w:cs="Times New Roman" w:ascii="Times New Roman" w:hAnsi="Times New Roman"/>
          <w:sz w:val="22"/>
          <w:u w:val="single"/>
        </w:rPr>
        <w:t>Publicity</w:t>
      </w:r>
      <w:r>
        <w:rPr>
          <w:rFonts w:cs="Times New Roman" w:ascii="Times New Roman" w:hAnsi="Times New Roman"/>
          <w:sz w:val="22"/>
        </w:rPr>
        <w:t xml:space="preserve">.  A Party desiring to issue a news release or other form of publicity that relates to the subject matter of this Agreement or the Development Program shall give full consideration to the role and contribution of the other Party and shall receive that other Party’s prior written permission before any such release or publicity, which permission such Party shall not unreasonably delay or withhold. </w:t>
      </w:r>
    </w:p>
    <w:p>
      <w:pPr>
        <w:pStyle w:val="Normal"/>
        <w:tabs>
          <w:tab w:val="left" w:pos="720" w:leader="none"/>
          <w:tab w:val="left" w:pos="1440" w:leader="none"/>
          <w:tab w:val="left" w:pos="2160" w:leader="none"/>
        </w:tabs>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11.10</w:t>
        <w:tab/>
      </w:r>
      <w:r>
        <w:rPr>
          <w:rFonts w:cs="Times New Roman" w:ascii="Times New Roman" w:hAnsi="Times New Roman"/>
          <w:sz w:val="22"/>
          <w:u w:val="single"/>
        </w:rPr>
        <w:t>Third Parties</w:t>
      </w:r>
      <w:r>
        <w:rPr>
          <w:rFonts w:cs="Times New Roman" w:ascii="Times New Roman" w:hAnsi="Times New Roman"/>
          <w:sz w:val="22"/>
        </w:rPr>
        <w:t>.  The provisions of this Agreement</w:t>
      </w:r>
      <w:r>
        <w:rPr>
          <w:rFonts w:cs="Times New Roman" w:ascii="Times New Roman" w:hAnsi="Times New Roman"/>
          <w:b/>
          <w:sz w:val="22"/>
        </w:rPr>
        <w:t xml:space="preserve"> </w:t>
      </w:r>
      <w:r>
        <w:rPr>
          <w:rFonts w:cs="Times New Roman" w:ascii="Times New Roman" w:hAnsi="Times New Roman"/>
          <w:sz w:val="22"/>
        </w:rPr>
        <w:t>shall not impart rights enforceable by any person or entity not a Party or not a successor or permitted assignee of a Party bound by this Agreement.</w:t>
      </w:r>
    </w:p>
    <w:p>
      <w:pPr>
        <w:pStyle w:val="Normal"/>
        <w:tabs>
          <w:tab w:val="left" w:pos="720" w:leader="none"/>
          <w:tab w:val="left" w:pos="1440" w:leader="none"/>
          <w:tab w:val="left" w:pos="2160" w:leader="none"/>
        </w:tabs>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11.11</w:t>
        <w:tab/>
      </w:r>
      <w:r>
        <w:rPr>
          <w:rFonts w:cs="Times New Roman" w:ascii="Times New Roman" w:hAnsi="Times New Roman"/>
          <w:sz w:val="22"/>
          <w:u w:val="single"/>
        </w:rPr>
        <w:t>Termination</w:t>
      </w:r>
      <w:r>
        <w:rPr>
          <w:rFonts w:cs="Times New Roman" w:ascii="Times New Roman" w:hAnsi="Times New Roman"/>
          <w:sz w:val="22"/>
        </w:rPr>
        <w:t xml:space="preserve">.  The rights and obligations of the Parties set forth in this Agreement shall automatically terminate on the Termination Date (subject to the pre-existing obligations of the Parties under the Confidentiality Agreement);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termination of this Agreement will not affect the liability of a Party for breach of any right or obligation, if such breach occurs prior to termination.  Upon termination of this Agreement, the Parties will have no further obligations hereunder, except that the rights and obligations of the Parties under this Agreement will survive any such termination as may be necessary to give full force and effect to the rights and obligations of the Parties thereunder.</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s>
        <w:jc w:val="both"/>
        <w:rPr/>
      </w:pPr>
      <w:r>
        <w:rPr>
          <w:rFonts w:cs="Times New Roman" w:ascii="Times New Roman" w:hAnsi="Times New Roman"/>
          <w:sz w:val="22"/>
        </w:rPr>
        <w:tab/>
        <w:t>11.12</w:t>
        <w:tab/>
      </w:r>
      <w:r>
        <w:rPr>
          <w:rFonts w:cs="Times New Roman" w:ascii="Times New Roman" w:hAnsi="Times New Roman"/>
          <w:sz w:val="22"/>
          <w:u w:val="single"/>
        </w:rPr>
        <w:t>Notice</w:t>
      </w:r>
      <w:r>
        <w:rPr>
          <w:rFonts w:cs="Times New Roman" w:ascii="Times New Roman" w:hAnsi="Times New Roman"/>
          <w:sz w:val="22"/>
        </w:rPr>
        <w:t>.  Any notices under this Agreement shall be given in writing by overnight delivery or facsimile at the addresses and/or telephone numbers set forth below.  Such notices shall be deemed delivered, if sent by facsimile, and confirmation of receipt is obtained, when sent, and if by overnight delivery on the day after the actual sending of the notice.</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If to ENA:</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Enron North America Corp.</w:t>
      </w:r>
    </w:p>
    <w:p>
      <w:pPr>
        <w:pStyle w:val="Normal"/>
        <w:ind w:start="1440" w:end="0"/>
        <w:jc w:val="both"/>
        <w:rPr>
          <w:rFonts w:ascii="Times New Roman" w:hAnsi="Times New Roman" w:cs="Times New Roman"/>
          <w:sz w:val="22"/>
        </w:rPr>
      </w:pPr>
      <w:r>
        <w:rPr>
          <w:rFonts w:cs="Times New Roman" w:ascii="Times New Roman" w:hAnsi="Times New Roman"/>
          <w:sz w:val="22"/>
        </w:rPr>
        <w:tab/>
        <w:t>150 N. Michigan, Suite 3610</w:t>
      </w:r>
    </w:p>
    <w:p>
      <w:pPr>
        <w:pStyle w:val="Normal"/>
        <w:ind w:firstLine="720" w:start="1440" w:end="0"/>
        <w:jc w:val="both"/>
        <w:rPr>
          <w:rFonts w:ascii="Times New Roman" w:hAnsi="Times New Roman" w:cs="Times New Roman"/>
          <w:sz w:val="22"/>
        </w:rPr>
      </w:pPr>
      <w:r>
        <w:rPr>
          <w:rFonts w:cs="Times New Roman" w:ascii="Times New Roman" w:hAnsi="Times New Roman"/>
          <w:sz w:val="22"/>
        </w:rPr>
        <w:t>Chicago, Illinois 60601</w:t>
      </w:r>
    </w:p>
    <w:p>
      <w:pPr>
        <w:pStyle w:val="Normal"/>
        <w:ind w:firstLine="720" w:start="1440" w:end="0"/>
        <w:jc w:val="both"/>
        <w:rPr>
          <w:rFonts w:ascii="Times New Roman" w:hAnsi="Times New Roman" w:cs="Times New Roman"/>
          <w:sz w:val="22"/>
        </w:rPr>
      </w:pPr>
      <w:r>
        <w:rPr>
          <w:rFonts w:cs="Times New Roman" w:ascii="Times New Roman" w:hAnsi="Times New Roman"/>
          <w:sz w:val="22"/>
        </w:rPr>
        <w:t>Attn:  Laura Luce</w:t>
      </w:r>
    </w:p>
    <w:p>
      <w:pPr>
        <w:pStyle w:val="Normal"/>
        <w:ind w:firstLine="720" w:start="1440" w:end="0"/>
        <w:jc w:val="both"/>
        <w:rPr>
          <w:rFonts w:ascii="Times New Roman" w:hAnsi="Times New Roman" w:cs="Times New Roman"/>
          <w:sz w:val="22"/>
        </w:rPr>
      </w:pPr>
      <w:r>
        <w:rPr>
          <w:rFonts w:cs="Times New Roman" w:ascii="Times New Roman" w:hAnsi="Times New Roman"/>
          <w:sz w:val="22"/>
        </w:rPr>
        <w:t>Telephone No.: (312) 541-1225</w:t>
      </w:r>
    </w:p>
    <w:p>
      <w:pPr>
        <w:pStyle w:val="Normal"/>
        <w:ind w:start="1440" w:end="0"/>
        <w:jc w:val="both"/>
        <w:rPr>
          <w:rFonts w:ascii="Times New Roman" w:hAnsi="Times New Roman" w:cs="Times New Roman"/>
          <w:sz w:val="22"/>
        </w:rPr>
      </w:pPr>
      <w:r>
        <w:rPr>
          <w:rFonts w:cs="Times New Roman" w:ascii="Times New Roman" w:hAnsi="Times New Roman"/>
          <w:sz w:val="22"/>
        </w:rPr>
        <w:tab/>
        <w:t>Facsimile No.: (312) 541-2729</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keepNext w:val="true"/>
        <w:keepLines/>
        <w:ind w:start="1440" w:end="0"/>
        <w:jc w:val="both"/>
        <w:rPr>
          <w:rFonts w:ascii="Times New Roman" w:hAnsi="Times New Roman" w:cs="Times New Roman"/>
          <w:sz w:val="22"/>
        </w:rPr>
      </w:pPr>
      <w:r>
        <w:rPr>
          <w:rFonts w:cs="Times New Roman" w:ascii="Times New Roman" w:hAnsi="Times New Roman"/>
          <w:sz w:val="22"/>
        </w:rPr>
        <w:tab/>
        <w:t>Attn:  Fred Mitro</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ab/>
        <w:t>Telephone No.: (713) 853-5406</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ab/>
        <w:t>Facsimile No.: (713) 646-3421</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ab/>
        <w:t>Attn:  Sheila Tweed</w:t>
      </w:r>
    </w:p>
    <w:p>
      <w:pPr>
        <w:pStyle w:val="Normal"/>
        <w:keepNext w:val="true"/>
        <w:keepLines/>
        <w:ind w:firstLine="720" w:start="1440" w:end="0"/>
        <w:rPr>
          <w:rFonts w:ascii="Times New Roman" w:hAnsi="Times New Roman" w:cs="Times New Roman"/>
          <w:sz w:val="22"/>
        </w:rPr>
      </w:pPr>
      <w:r>
        <w:rPr>
          <w:rFonts w:cs="Times New Roman" w:ascii="Times New Roman" w:hAnsi="Times New Roman"/>
          <w:sz w:val="22"/>
        </w:rPr>
        <w:t>Telephone No.:  (713) 853-7093</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ab/>
        <w:t>Facsimile No.: (713) 646-3490</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keepNext w:val="true"/>
        <w:keepLines/>
        <w:ind w:start="1440" w:end="0"/>
        <w:rPr>
          <w:rFonts w:ascii="Times New Roman" w:hAnsi="Times New Roman" w:cs="Times New Roman"/>
          <w:sz w:val="22"/>
        </w:rPr>
      </w:pPr>
      <w:r>
        <w:rPr>
          <w:rFonts w:cs="Times New Roman" w:ascii="Times New Roman" w:hAnsi="Times New Roman"/>
          <w:sz w:val="22"/>
        </w:rPr>
        <w:t>If to PERC:</w:t>
      </w:r>
    </w:p>
    <w:p>
      <w:pPr>
        <w:pStyle w:val="Normal"/>
        <w:keepNext w:val="true"/>
        <w:keepLines/>
        <w:ind w:start="1440" w:end="0"/>
        <w:rPr>
          <w:rFonts w:ascii="Times New Roman" w:hAnsi="Times New Roman" w:cs="Times New Roman"/>
          <w:sz w:val="22"/>
        </w:rPr>
      </w:pPr>
      <w:r>
        <w:rPr>
          <w:rFonts w:cs="Times New Roman" w:ascii="Times New Roman" w:hAnsi="Times New Roman"/>
          <w:sz w:val="22"/>
        </w:rPr>
      </w:r>
    </w:p>
    <w:p>
      <w:pPr>
        <w:pStyle w:val="Normal"/>
        <w:keepNext w:val="true"/>
        <w:keepLines/>
        <w:ind w:start="2160" w:end="-720"/>
        <w:rPr>
          <w:rFonts w:ascii="Times New Roman" w:hAnsi="Times New Roman" w:cs="Times New Roman"/>
          <w:sz w:val="22"/>
        </w:rPr>
      </w:pPr>
      <w:r>
        <w:rPr>
          <w:rFonts w:cs="Times New Roman" w:ascii="Times New Roman" w:hAnsi="Times New Roman"/>
          <w:sz w:val="22"/>
        </w:rPr>
        <w:t>Peoples Energy Resources Company</w:t>
        <w:tab/>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130 East Randolph Drive</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Chicago, Illinois 60601</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Attn:  Dennis Lawler</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Telephone No.: (312) 240-3637</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Facsimile No.: (312) 240-7158</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Attn:  Peter Kauffman</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Telephone:  (312) 240-4347</w:t>
      </w:r>
    </w:p>
    <w:p>
      <w:pPr>
        <w:pStyle w:val="Normal"/>
        <w:keepNext w:val="true"/>
        <w:keepLines/>
        <w:ind w:start="2160" w:end="0"/>
        <w:rPr>
          <w:rFonts w:ascii="Times New Roman" w:hAnsi="Times New Roman" w:cs="Times New Roman"/>
          <w:sz w:val="22"/>
        </w:rPr>
      </w:pPr>
      <w:r>
        <w:rPr>
          <w:rFonts w:cs="Times New Roman" w:ascii="Times New Roman" w:hAnsi="Times New Roman"/>
          <w:sz w:val="22"/>
        </w:rPr>
        <w:t>Facsimile No.:  (312) 240-4486</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b/>
          <w:sz w:val="22"/>
        </w:rPr>
        <w:tab/>
      </w:r>
      <w:r>
        <w:rPr>
          <w:rFonts w:cs="Times New Roman" w:ascii="Times New Roman" w:hAnsi="Times New Roman"/>
          <w:sz w:val="22"/>
        </w:rPr>
        <w:t>11.13</w:t>
        <w:tab/>
      </w:r>
      <w:r>
        <w:rPr>
          <w:rFonts w:cs="Times New Roman" w:ascii="Times New Roman" w:hAnsi="Times New Roman"/>
          <w:sz w:val="22"/>
          <w:u w:val="single"/>
        </w:rPr>
        <w:t>Non-Inclusive; Non-Binding</w:t>
      </w:r>
      <w:r>
        <w:rPr>
          <w:rFonts w:cs="Times New Roman" w:ascii="Times New Roman" w:hAnsi="Times New Roman"/>
          <w:sz w:val="22"/>
        </w:rPr>
        <w:t>.  This Agreement does not contain all matters upon which agreement must be reached in order for the Definitive Agreements with respect to Proposed Projects to be executed.</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3"/>
        <w:keepNext w:val="true"/>
        <w:keepLines/>
        <w:jc w:val="both"/>
        <w:rPr>
          <w:rFonts w:ascii="Times New Roman" w:hAnsi="Times New Roman" w:cs="Times New Roman"/>
          <w:sz w:val="22"/>
        </w:rPr>
      </w:pPr>
      <w:r>
        <w:rPr>
          <w:rFonts w:cs="Times New Roman" w:ascii="Times New Roman" w:hAnsi="Times New Roman"/>
          <w:sz w:val="22"/>
        </w:rPr>
        <w:t xml:space="preserve">This Agreement may be executed in counterparts, with each counterpart being deemed to be an original, but all such counterparts together shall constitute but one and the same document.  </w:t>
      </w:r>
    </w:p>
    <w:p>
      <w:pPr>
        <w:pStyle w:val="BodyTextIndent3"/>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ind w:start="3600" w:end="360"/>
        <w:jc w:val="both"/>
        <w:rPr>
          <w:rFonts w:ascii="Times New Roman" w:hAnsi="Times New Roman" w:cs="Times New Roman"/>
          <w:b/>
          <w:sz w:val="22"/>
        </w:rPr>
      </w:pPr>
      <w:r>
        <w:rPr>
          <w:rFonts w:cs="Times New Roman" w:ascii="Times New Roman" w:hAnsi="Times New Roman"/>
          <w:b/>
          <w:sz w:val="22"/>
        </w:rPr>
        <w:t>ENRON NORTH AMERICA CORP.</w:t>
      </w:r>
    </w:p>
    <w:p>
      <w:pPr>
        <w:pStyle w:val="Normal"/>
        <w:keepNext w:val="true"/>
        <w:keepLines/>
        <w:ind w:start="4320" w:end="360"/>
        <w:jc w:val="both"/>
        <w:rPr>
          <w:rFonts w:ascii="Times New Roman" w:hAnsi="Times New Roman" w:cs="Times New Roman"/>
          <w:b/>
          <w:sz w:val="22"/>
        </w:rPr>
      </w:pPr>
      <w:r>
        <w:rPr>
          <w:rFonts w:cs="Times New Roman" w:ascii="Times New Roman" w:hAnsi="Times New Roman"/>
          <w:b/>
          <w:sz w:val="22"/>
        </w:rPr>
      </w:r>
    </w:p>
    <w:p>
      <w:pPr>
        <w:pStyle w:val="Normal"/>
        <w:keepNext w:val="true"/>
        <w:keepLines/>
        <w:ind w:start="4320" w:end="360"/>
        <w:jc w:val="both"/>
        <w:rPr>
          <w:rFonts w:ascii="Times New Roman" w:hAnsi="Times New Roman" w:cs="Times New Roman"/>
          <w:b/>
          <w:sz w:val="22"/>
        </w:rPr>
      </w:pPr>
      <w:r>
        <w:rPr>
          <w:rFonts w:cs="Times New Roman" w:ascii="Times New Roman" w:hAnsi="Times New Roman"/>
          <w:b/>
          <w:sz w:val="22"/>
        </w:rPr>
      </w:r>
    </w:p>
    <w:p>
      <w:pPr>
        <w:pStyle w:val="Normal"/>
        <w:keepNext w:val="true"/>
        <w:keepLines/>
        <w:ind w:start="3600" w:end="0"/>
        <w:jc w:val="both"/>
        <w:rPr/>
      </w:pPr>
      <w:r>
        <w:rPr>
          <w:rFonts w:cs="Times New Roman" w:ascii="Times New Roman" w:hAnsi="Times New Roman"/>
          <w:sz w:val="22"/>
        </w:rPr>
        <w:t>By:</w:t>
      </w:r>
      <w:r>
        <w:rPr>
          <w:rFonts w:cs="Times New Roman" w:ascii="Times New Roman" w:hAnsi="Times New Roman"/>
          <w:sz w:val="22"/>
          <w:u w:val="single"/>
        </w:rPr>
        <w:tab/>
        <w:tab/>
        <w:tab/>
        <w:tab/>
        <w:tab/>
        <w:tab/>
        <w:tab/>
      </w:r>
    </w:p>
    <w:p>
      <w:pPr>
        <w:pStyle w:val="Normal"/>
        <w:keepNext w:val="true"/>
        <w:keepLines/>
        <w:ind w:start="432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keepLines/>
        <w:ind w:start="3600" w:end="0"/>
        <w:jc w:val="both"/>
        <w:rPr/>
      </w:pPr>
      <w:r>
        <w:rPr>
          <w:rFonts w:cs="Times New Roman" w:ascii="Times New Roman" w:hAnsi="Times New Roman"/>
          <w:sz w:val="22"/>
        </w:rPr>
        <w:t>Name:</w:t>
      </w:r>
      <w:r>
        <w:rPr>
          <w:rFonts w:cs="Times New Roman" w:ascii="Times New Roman" w:hAnsi="Times New Roman"/>
          <w:sz w:val="22"/>
          <w:u w:val="single"/>
        </w:rPr>
        <w:tab/>
        <w:tab/>
        <w:tab/>
        <w:tab/>
        <w:tab/>
        <w:tab/>
        <w:tab/>
      </w:r>
    </w:p>
    <w:p>
      <w:pPr>
        <w:pStyle w:val="Normal"/>
        <w:keepNext w:val="true"/>
        <w:keepLines/>
        <w:ind w:start="4320" w:end="360"/>
        <w:jc w:val="both"/>
        <w:rPr>
          <w:rFonts w:ascii="Times New Roman" w:hAnsi="Times New Roman" w:cs="Times New Roman"/>
          <w:sz w:val="22"/>
        </w:rPr>
      </w:pPr>
      <w:r>
        <w:rPr>
          <w:rFonts w:cs="Times New Roman" w:ascii="Times New Roman" w:hAnsi="Times New Roman"/>
          <w:sz w:val="22"/>
        </w:rPr>
        <w:t>Vice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2880" w:end="0"/>
        <w:jc w:val="both"/>
        <w:rPr>
          <w:rFonts w:ascii="Times New Roman" w:hAnsi="Times New Roman" w:cs="Times New Roman"/>
          <w:b/>
          <w:sz w:val="22"/>
        </w:rPr>
      </w:pPr>
      <w:r>
        <w:rPr>
          <w:rFonts w:cs="Times New Roman" w:ascii="Times New Roman" w:hAnsi="Times New Roman"/>
          <w:b/>
          <w:sz w:val="22"/>
        </w:rPr>
        <w:t>PEOPLES ENERGY RESOURCES CORP.</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2880" w:end="0"/>
        <w:jc w:val="both"/>
        <w:rPr/>
      </w:pPr>
      <w:r>
        <w:rPr>
          <w:rFonts w:cs="Times New Roman" w:ascii="Times New Roman" w:hAnsi="Times New Roman"/>
          <w:sz w:val="22"/>
        </w:rPr>
        <w:t>By:</w:t>
      </w:r>
      <w:r>
        <w:rPr>
          <w:rFonts w:cs="Times New Roman" w:ascii="Times New Roman" w:hAnsi="Times New Roman"/>
          <w:sz w:val="22"/>
          <w:u w:val="single"/>
        </w:rPr>
        <w:tab/>
        <w:tab/>
        <w:tab/>
        <w:tab/>
        <w:tab/>
        <w:tab/>
        <w:tab/>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pStyle w:val="Normal"/>
        <w:ind w:firstLine="720" w:start="2880" w:end="0"/>
        <w:jc w:val="both"/>
        <w:rPr/>
      </w:pPr>
      <w:r>
        <w:rPr>
          <w:rFonts w:cs="Times New Roman" w:ascii="Times New Roman" w:hAnsi="Times New Roman"/>
          <w:sz w:val="22"/>
        </w:rPr>
        <w:t>Name:</w:t>
      </w:r>
      <w:r>
        <w:rPr>
          <w:rFonts w:cs="Times New Roman" w:ascii="Times New Roman" w:hAnsi="Times New Roman"/>
          <w:sz w:val="22"/>
          <w:u w:val="single"/>
        </w:rPr>
        <w:tab/>
        <w:tab/>
        <w:tab/>
        <w:tab/>
        <w:tab/>
        <w:tab/>
        <w:tab/>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firstLine="720" w:start="2880" w:end="0"/>
        <w:jc w:val="both"/>
        <w:rPr/>
      </w:pPr>
      <w:r>
        <w:rPr>
          <w:rFonts w:cs="Times New Roman" w:ascii="Times New Roman" w:hAnsi="Times New Roman"/>
          <w:sz w:val="22"/>
        </w:rPr>
        <w:t>Title:</w:t>
      </w:r>
      <w:r>
        <w:rPr>
          <w:rFonts w:cs="Times New Roman" w:ascii="Times New Roman" w:hAnsi="Times New Roman"/>
          <w:sz w:val="22"/>
          <w:u w:val="single"/>
        </w:rPr>
        <w:tab/>
        <w:tab/>
        <w:tab/>
        <w:tab/>
        <w:tab/>
        <w:tab/>
        <w:tab/>
      </w:r>
    </w:p>
    <w:p>
      <w:pPr>
        <w:pStyle w:val="Normal"/>
        <w:ind w:firstLine="720" w:start="2880" w:end="0"/>
        <w:jc w:val="both"/>
        <w:rPr>
          <w:rFonts w:ascii="Times New Roman" w:hAnsi="Times New Roman" w:cs="Times New Roman"/>
          <w:sz w:val="22"/>
          <w:u w:val="single"/>
        </w:rPr>
      </w:pPr>
      <w:r>
        <w:rPr>
          <w:rFonts w:cs="Times New Roman" w:ascii="Times New Roman" w:hAnsi="Times New Roman"/>
          <w:sz w:val="22"/>
          <w:u w:val="single"/>
        </w:rPr>
      </w:r>
    </w:p>
    <w:p>
      <w:pPr>
        <w:pStyle w:val="Heading3"/>
        <w:rPr>
          <w:rFonts w:ascii="Times New Roman" w:hAnsi="Times New Roman" w:cs="Times New Roman"/>
          <w:b/>
          <w:sz w:val="22"/>
        </w:rPr>
      </w:pPr>
      <w:r>
        <w:rPr>
          <w:rFonts w:cs="Times New Roman" w:ascii="Times New Roman" w:hAnsi="Times New Roman"/>
          <w:b/>
          <w:sz w:val="22"/>
        </w:rPr>
        <w:t>Exhibit I</w:t>
      </w:r>
    </w:p>
    <w:p>
      <w:pPr>
        <w:pStyle w:val="Normal"/>
        <w:ind w:firstLine="720" w:start="2880" w:end="0"/>
        <w:jc w:val="both"/>
        <w:rPr>
          <w:rFonts w:ascii="Times New Roman" w:hAnsi="Times New Roman" w:cs="Times New Roman"/>
          <w:b/>
          <w:sz w:val="22"/>
        </w:rPr>
      </w:pPr>
      <w:r>
        <w:rPr>
          <w:rFonts w:cs="Times New Roman" w:ascii="Times New Roman" w:hAnsi="Times New Roman"/>
          <w:b/>
          <w:sz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2" w:fmt="decimal"/>
          <w:formProt w:val="false"/>
          <w:textDirection w:val="lrTb"/>
          <w:docGrid w:type="default" w:linePitch="360" w:charSpace="0"/>
        </w:sectPr>
        <w:pStyle w:val="Normal"/>
        <w:ind w:firstLine="720" w:start="2880" w:end="0"/>
        <w:jc w:val="both"/>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u w:val="single"/>
        </w:rPr>
        <w:t>Exhibit II</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tbl>
      <w:tblPr>
        <w:tblW w:w="10800" w:type="dxa"/>
        <w:jc w:val="start"/>
        <w:tblInd w:w="-972" w:type="dxa"/>
        <w:tblLayout w:type="fixed"/>
        <w:tblCellMar>
          <w:top w:w="0" w:type="dxa"/>
          <w:start w:w="108" w:type="dxa"/>
          <w:bottom w:w="0" w:type="dxa"/>
          <w:end w:w="108" w:type="dxa"/>
        </w:tblCellMar>
      </w:tblPr>
      <w:tblGrid>
        <w:gridCol w:w="3600"/>
        <w:gridCol w:w="7200"/>
      </w:tblGrid>
      <w:tr>
        <w:trPr/>
        <w:tc>
          <w:tcPr>
            <w:tcW w:w="360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Times New Roman" w:hAnsi="Times New Roman" w:cs="Times New Roman"/>
                <w:b/>
                <w:sz w:val="22"/>
                <w:u w:val="single"/>
              </w:rPr>
            </w:pPr>
            <w:r>
              <w:rPr>
                <w:rFonts w:cs="Times New Roman" w:ascii="Times New Roman" w:hAnsi="Times New Roman"/>
                <w:b/>
                <w:sz w:val="22"/>
                <w:u w:val="single"/>
              </w:rPr>
            </w:r>
          </w:p>
        </w:tc>
        <w:tc>
          <w:tcPr>
            <w:tcW w:w="720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Times New Roman" w:hAnsi="Times New Roman" w:cs="Times New Roman"/>
                <w:b/>
                <w:sz w:val="22"/>
                <w:u w:val="single"/>
              </w:rPr>
            </w:pPr>
            <w:r>
              <w:rPr>
                <w:rFonts w:cs="Times New Roman" w:ascii="Times New Roman" w:hAnsi="Times New Roman"/>
                <w:b/>
                <w:sz w:val="22"/>
                <w:u w:val="single"/>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b/>
                <w:sz w:val="22"/>
                <w:u w:val="single"/>
              </w:rPr>
            </w:pPr>
            <w:r>
              <w:rPr>
                <w:rFonts w:cs="Times New Roman" w:ascii="Times New Roman" w:hAnsi="Times New Roman"/>
                <w:b/>
                <w:sz w:val="22"/>
                <w:u w:val="single"/>
              </w:rPr>
            </w:r>
          </w:p>
        </w:tc>
        <w:tc>
          <w:tcPr>
            <w:tcW w:w="72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b/>
                <w:sz w:val="22"/>
                <w:u w:val="single"/>
              </w:rPr>
            </w:pPr>
            <w:r>
              <w:rPr>
                <w:rFonts w:cs="Times New Roman" w:ascii="Times New Roman" w:hAnsi="Times New Roman"/>
                <w:b/>
                <w:sz w:val="22"/>
                <w:u w:val="single"/>
              </w:rPr>
            </w:r>
          </w:p>
        </w:tc>
      </w:tr>
      <w:tr>
        <w:trPr/>
        <w:tc>
          <w:tcPr>
            <w:tcW w:w="360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b/>
                <w:sz w:val="22"/>
                <w:u w:val="single"/>
              </w:rPr>
            </w:pPr>
            <w:r>
              <w:rPr>
                <w:rFonts w:cs="Times New Roman" w:ascii="Times New Roman" w:hAnsi="Times New Roman"/>
                <w:b/>
                <w:sz w:val="22"/>
                <w:u w:val="single"/>
              </w:rPr>
            </w:r>
          </w:p>
        </w:tc>
        <w:tc>
          <w:tcPr>
            <w:tcW w:w="7200" w:type="dxa"/>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b/>
                <w:sz w:val="22"/>
                <w:u w:val="single"/>
              </w:rPr>
            </w:pPr>
            <w:r>
              <w:rPr>
                <w:rFonts w:cs="Times New Roman" w:ascii="Times New Roman" w:hAnsi="Times New Roman"/>
                <w:b/>
                <w:sz w:val="22"/>
                <w:u w:val="single"/>
              </w:rPr>
            </w:r>
          </w:p>
        </w:tc>
      </w:tr>
      <w:tr>
        <w:trPr/>
        <w:tc>
          <w:tcPr>
            <w:tcW w:w="360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rFonts w:ascii="Times New Roman" w:hAnsi="Times New Roman" w:cs="Times New Roman"/>
                <w:b/>
                <w:sz w:val="22"/>
                <w:u w:val="single"/>
              </w:rPr>
            </w:pPr>
            <w:r>
              <w:rPr>
                <w:rFonts w:cs="Times New Roman" w:ascii="Times New Roman" w:hAnsi="Times New Roman"/>
                <w:b/>
                <w:sz w:val="22"/>
                <w:u w:val="single"/>
              </w:rPr>
            </w:r>
          </w:p>
        </w:tc>
        <w:tc>
          <w:tcPr>
            <w:tcW w:w="7200" w:type="dxa"/>
            <w:tcBorders>
              <w:top w:val="single" w:sz="6" w:space="0" w:color="000000"/>
              <w:start w:val="single" w:sz="6" w:space="0" w:color="000000"/>
              <w:bottom w:val="single" w:sz="4" w:space="0" w:color="000000"/>
              <w:end w:val="single" w:sz="6" w:space="0" w:color="000000"/>
            </w:tcBorders>
          </w:tcPr>
          <w:p>
            <w:pPr>
              <w:pStyle w:val="Normal"/>
              <w:snapToGrid w:val="false"/>
              <w:rPr>
                <w:rFonts w:ascii="Times New Roman" w:hAnsi="Times New Roman" w:cs="Times New Roman"/>
                <w:b/>
                <w:sz w:val="22"/>
                <w:u w:val="single"/>
              </w:rPr>
            </w:pPr>
            <w:r>
              <w:rPr>
                <w:rFonts w:cs="Times New Roman" w:ascii="Times New Roman" w:hAnsi="Times New Roman"/>
                <w:b/>
                <w:sz w:val="22"/>
                <w:u w:val="single"/>
              </w:rPr>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mooreassigngment.doc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mooreassigngment.doc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mooreassigngment.doc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jc w:val="center"/>
      <w:rPr>
        <w:b/>
        <w:sz w:val="28"/>
      </w:rPr>
    </w:pPr>
    <w:r>
      <w:rPr>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tabs>
        <w:tab w:val="clear" w:pos="4320"/>
        <w:tab w:val="clear" w:pos="8640"/>
        <w:tab w:val="center" w:pos="4770" w:leader="none"/>
      </w:tabs>
      <w:ind w:start="288" w:end="0"/>
      <w:jc w:val="center"/>
      <w:rPr/>
    </w:pPr>
    <w:r>
      <w:rPr>
        <w:rStyle w:val="PageNumber"/>
      </w:rPr>
      <w:tab/>
      <w:t>Page 2 of 2</w:t>
    </w:r>
  </w:p>
  <w:p>
    <w:pPr>
      <w:pStyle w:val="Header"/>
      <w:jc w:val="cent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tabs>
        <w:tab w:val="clear" w:pos="4320"/>
        <w:tab w:val="clear" w:pos="8640"/>
        <w:tab w:val="center" w:pos="4770" w:leader="none"/>
      </w:tabs>
      <w:ind w:start="288" w:end="0"/>
      <w:jc w:val="center"/>
      <w:rPr/>
    </w:pPr>
    <w:r>
      <w:rPr>
        <w:rStyle w:val="PageNumber"/>
      </w:rPr>
      <w:tab/>
      <w:t>Page 1 of 1</w:t>
    </w:r>
  </w:p>
  <w:p>
    <w:pPr>
      <w:pStyle w:val="Header"/>
      <w:jc w:val="center"/>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4"/>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2160"/>
        </w:tabs>
        <w:ind w:start="2160" w:hanging="720"/>
      </w:pPr>
      <w:rPr/>
    </w:lvl>
  </w:abstractNum>
  <w:abstractNum w:abstractNumId="5">
    <w:lvl w:ilvl="0">
      <w:start w:val="5"/>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6">
    <w:lvl w:ilvl="0">
      <w:start w:val="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6"/>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ind w:firstLine="720" w:start="2880" w:end="0"/>
      <w:jc w:val="both"/>
      <w:outlineLvl w:val="2"/>
    </w:pPr>
    <w:rPr>
      <w:u w:val="single"/>
    </w:rPr>
  </w:style>
  <w:style w:type="paragraph" w:styleId="Heading4">
    <w:name w:val="heading 4"/>
    <w:basedOn w:val="Normal"/>
    <w:next w:val="Normal"/>
    <w:qFormat/>
    <w:pPr>
      <w:keepNext w:val="true"/>
      <w:numPr>
        <w:ilvl w:val="3"/>
        <w:numId w:val="1"/>
      </w:numPr>
      <w:jc w:val="both"/>
      <w:outlineLvl w:val="3"/>
    </w:pPr>
    <w:rPr>
      <w:b/>
      <w:u w:val="single"/>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color w:val="auto"/>
      <w:sz w:val="24"/>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ind w:hanging="0" w:start="720" w:end="0"/>
    </w:pPr>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s>
      <w:ind w:firstLine="630" w:start="90" w:end="0"/>
    </w:pPr>
    <w:rPr/>
  </w:style>
  <w:style w:type="paragraph" w:styleId="BodyTextIndent3">
    <w:name w:val="Body Text Indent 3"/>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2000-07-14T12:26:00Z</dcterms:created>
  <dc:creator>BROWA</dc:creator>
  <dc:description/>
  <dc:language>en-CA</dc:language>
  <cp:lastModifiedBy>kmann</cp:lastModifiedBy>
  <cp:lastPrinted>2000-07-14T13:54:00Z</cp:lastPrinted>
  <dcterms:modified xsi:type="dcterms:W3CDTF">2000-07-14T16:39:00Z</dcterms:modified>
  <cp:revision>4</cp:revision>
  <dc:subject/>
  <dc:title>Joint Power Generation Project Development Agreement</dc:title>
</cp:coreProperties>
</file>