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Jim Derrick</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Labanowski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November, 2000 Monthly Report - Enron Property &amp; Services Corp.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December 8, 2000</w:t>
            </w:r>
          </w:p>
        </w:tc>
      </w:tr>
    </w:tbl>
    <w:p>
      <w:pPr>
        <w:pStyle w:val="Body"/>
        <w:jc w:val="center"/>
        <w:rPr/>
      </w:pPr>
      <w:r>
        <w:rPr/>
      </w:r>
    </w:p>
    <w:p>
      <w:pPr>
        <w:pStyle w:val="Body"/>
        <w:jc w:val="center"/>
        <w:rPr/>
      </w:pPr>
      <w:r>
        <w:rPr/>
      </w:r>
    </w:p>
    <w:p>
      <w:pPr>
        <w:pStyle w:val="Body"/>
        <w:jc w:val="center"/>
        <w:rPr/>
      </w:pPr>
      <w:r>
        <w:rPr/>
      </w:r>
    </w:p>
    <w:p>
      <w:pPr>
        <w:pStyle w:val="Body"/>
        <w:jc w:val="center"/>
        <w:rPr/>
      </w:pPr>
      <w:r>
        <w:rPr/>
        <w:t>PRIVILEGED AND CONFIDENTIAL</w:t>
      </w:r>
    </w:p>
    <w:p>
      <w:pPr>
        <w:pStyle w:val="Body"/>
        <w:jc w:val="center"/>
        <w:rPr/>
      </w:pPr>
      <w:r>
        <w:rPr/>
      </w:r>
    </w:p>
    <w:p>
      <w:pPr>
        <w:pStyle w:val="Body"/>
        <w:rPr>
          <w:sz w:val="24"/>
        </w:rPr>
      </w:pPr>
      <w:bookmarkStart w:id="3" w:name="StartOfMemo"/>
      <w:bookmarkEnd w:id="3"/>
      <w:r>
        <w:rPr>
          <w:sz w:val="24"/>
        </w:rPr>
        <w:t>Our legal group handled the following significant projects during the month of November, 2000:</w:t>
      </w:r>
    </w:p>
    <w:p>
      <w:pPr>
        <w:pStyle w:val="Body"/>
        <w:rPr>
          <w:sz w:val="24"/>
        </w:rPr>
      </w:pPr>
      <w:r>
        <w:rPr>
          <w:sz w:val="24"/>
        </w:rPr>
      </w:r>
    </w:p>
    <w:p>
      <w:pPr>
        <w:pStyle w:val="Body"/>
        <w:rPr>
          <w:sz w:val="24"/>
        </w:rPr>
      </w:pPr>
      <w:r>
        <w:rPr>
          <w:rFonts w:eastAsia="Arial"/>
          <w:sz w:val="24"/>
        </w:rPr>
        <w:t xml:space="preserve"> </w:t>
      </w:r>
      <w:r>
        <w:rPr>
          <w:sz w:val="24"/>
        </w:rPr>
        <w:t>I.  REAL ESTATE</w:t>
      </w:r>
    </w:p>
    <w:p>
      <w:pPr>
        <w:pStyle w:val="Body"/>
        <w:rPr>
          <w:sz w:val="24"/>
        </w:rPr>
      </w:pPr>
      <w:r>
        <w:rPr>
          <w:sz w:val="24"/>
        </w:rPr>
      </w:r>
    </w:p>
    <w:p>
      <w:pPr>
        <w:pStyle w:val="Body"/>
        <w:numPr>
          <w:ilvl w:val="0"/>
          <w:numId w:val="5"/>
        </w:numPr>
        <w:rPr>
          <w:sz w:val="24"/>
        </w:rPr>
      </w:pPr>
      <w:r>
        <w:rPr>
          <w:rFonts w:eastAsia="Arial"/>
          <w:sz w:val="24"/>
        </w:rPr>
        <w:t xml:space="preserve"> </w:t>
      </w:r>
      <w:r>
        <w:rPr>
          <w:sz w:val="24"/>
        </w:rPr>
        <w:t xml:space="preserve">ENRON CENTER PROJECT  --  Construction is on schedule for both the office building </w:t>
      </w:r>
    </w:p>
    <w:p>
      <w:pPr>
        <w:pStyle w:val="Body"/>
        <w:rPr/>
      </w:pPr>
      <w:r>
        <w:rPr>
          <w:sz w:val="24"/>
        </w:rPr>
        <w:t>and parking garage.  There have been some issues with production of steel for the project, are we are discussing with the general contractor to extent that problem will affect target completion dates.  Completion of the trading floors is scheduled for summer, 2001, and tower floors for the first quarter of 2002.  Enron has participated in several scheduled reverse auctions for construction commodities (lights, carpeting, etc.) for the new Enron Center.  DealBench™, a subsidiary of Enron Net Works LLC, hosted the reverse auctions.  We are also now working on a number of contracts that will cover services in support of the new building when construction is complete.</w:t>
      </w:r>
    </w:p>
    <w:p>
      <w:pPr>
        <w:pStyle w:val="Body"/>
        <w:ind w:start="717" w:end="0"/>
        <w:rPr>
          <w:sz w:val="24"/>
        </w:rPr>
      </w:pPr>
      <w:r>
        <w:rPr>
          <w:sz w:val="24"/>
        </w:rPr>
      </w:r>
    </w:p>
    <w:p>
      <w:pPr>
        <w:pStyle w:val="Body"/>
        <w:rPr/>
      </w:pPr>
      <w:r>
        <w:rPr>
          <w:sz w:val="24"/>
        </w:rPr>
        <w:tab/>
        <w:t xml:space="preserve">B.  AIRPORT HANGAR -- </w:t>
        <w:tab/>
        <w:t>Enron signed a contract with a subsidiary of The Williams Companies under which Enron will succeed to William’s interest in a lease with the City of Houston for property close by Enron’s existing hangar at Bush Intercontinental Airport.  The deal requires that Enron secure William’s release from all of its obligations under the lease with the City, which we now feel we will be able to do.  We are no working towards closing this transaction by year end.</w:t>
      </w:r>
    </w:p>
    <w:p>
      <w:pPr>
        <w:pStyle w:val="Body"/>
        <w:ind w:start="720" w:end="0"/>
        <w:rPr>
          <w:sz w:val="24"/>
        </w:rPr>
      </w:pPr>
      <w:r>
        <w:rPr>
          <w:sz w:val="24"/>
        </w:rPr>
      </w:r>
    </w:p>
    <w:p>
      <w:pPr>
        <w:pStyle w:val="Body"/>
        <w:numPr>
          <w:ilvl w:val="0"/>
          <w:numId w:val="5"/>
        </w:numPr>
        <w:rPr>
          <w:sz w:val="24"/>
        </w:rPr>
      </w:pPr>
      <w:r>
        <w:rPr>
          <w:sz w:val="24"/>
        </w:rPr>
        <w:t xml:space="preserve">CHILD CARE FACILITY – We have signed an agreement with Kirksey Architects </w:t>
      </w:r>
    </w:p>
    <w:p>
      <w:pPr>
        <w:pStyle w:val="Body"/>
        <w:rPr>
          <w:sz w:val="24"/>
        </w:rPr>
      </w:pPr>
      <w:r>
        <w:rPr>
          <w:sz w:val="24"/>
        </w:rPr>
        <w:t>for the design of the new child care facility in downtown Houston.  We are currently drafting the contract with Tellepsen Builders as the general contractor for this project.</w:t>
      </w:r>
    </w:p>
    <w:p>
      <w:pPr>
        <w:pStyle w:val="Body"/>
        <w:rPr>
          <w:sz w:val="24"/>
        </w:rPr>
      </w:pPr>
      <w:r>
        <w:rPr>
          <w:sz w:val="24"/>
        </w:rPr>
      </w:r>
    </w:p>
    <w:p>
      <w:pPr>
        <w:pStyle w:val="Body"/>
        <w:rPr>
          <w:sz w:val="24"/>
        </w:rPr>
      </w:pPr>
      <w:r>
        <w:rPr>
          <w:sz w:val="24"/>
        </w:rPr>
        <w:t xml:space="preserve">II.  </w:t>
        <w:tab/>
        <w:t>OPERATIONS</w:t>
      </w:r>
    </w:p>
    <w:p>
      <w:pPr>
        <w:pStyle w:val="Body"/>
        <w:rPr>
          <w:sz w:val="24"/>
        </w:rPr>
      </w:pPr>
      <w:r>
        <w:rPr>
          <w:sz w:val="24"/>
        </w:rPr>
      </w:r>
    </w:p>
    <w:p>
      <w:pPr>
        <w:pStyle w:val="Body"/>
        <w:ind w:firstLine="648" w:end="0"/>
        <w:rPr/>
      </w:pPr>
      <w:r>
        <w:rPr>
          <w:sz w:val="24"/>
        </w:rPr>
        <w:t>A.  AIRCRAFT SALES–   (Highly Confidential)  We now have a senior management directive to sell two Falcons, one by the end of 2000 and the other by the end of the first quarter, 2001.  Stan Pieringer of Locke Liddell has been engaged to handle both of these transactions.  We are also looking at the possibility of putting a 3</w:t>
      </w:r>
      <w:r>
        <w:rPr>
          <w:sz w:val="24"/>
          <w:vertAlign w:val="superscript"/>
        </w:rPr>
        <w:t>rd</w:t>
      </w:r>
      <w:r>
        <w:rPr>
          <w:sz w:val="24"/>
        </w:rPr>
        <w:t xml:space="preserve"> aircraft on the market, but are trying to assess market conditions.  On all of these aircraft, we have had to work on unwinding them out of various tax and financing structures into which they had been put when purchased.</w:t>
      </w:r>
    </w:p>
    <w:p>
      <w:pPr>
        <w:pStyle w:val="Body"/>
        <w:ind w:firstLine="648" w:end="0"/>
        <w:rPr>
          <w:sz w:val="24"/>
        </w:rPr>
      </w:pPr>
      <w:r>
        <w:rPr>
          <w:sz w:val="24"/>
        </w:rPr>
      </w:r>
    </w:p>
    <w:p>
      <w:pPr>
        <w:pStyle w:val="Body"/>
        <w:ind w:firstLine="648" w:end="0"/>
        <w:rPr>
          <w:sz w:val="24"/>
        </w:rPr>
      </w:pPr>
      <w:r>
        <w:rPr>
          <w:sz w:val="24"/>
        </w:rPr>
      </w:r>
    </w:p>
    <w:p>
      <w:pPr>
        <w:pStyle w:val="Body"/>
        <w:ind w:firstLine="648" w:end="0"/>
        <w:rPr>
          <w:sz w:val="24"/>
        </w:rPr>
      </w:pPr>
      <w:r>
        <w:rPr>
          <w:sz w:val="24"/>
        </w:rPr>
      </w:r>
    </w:p>
    <w:p>
      <w:pPr>
        <w:pStyle w:val="Body"/>
        <w:ind w:firstLine="648" w:end="0"/>
        <w:rPr>
          <w:sz w:val="24"/>
        </w:rPr>
      </w:pPr>
      <w:r>
        <w:rPr>
          <w:sz w:val="24"/>
        </w:rPr>
      </w:r>
    </w:p>
    <w:p>
      <w:pPr>
        <w:pStyle w:val="Body"/>
        <w:ind w:firstLine="648" w:end="0"/>
        <w:rPr>
          <w:sz w:val="24"/>
        </w:rPr>
      </w:pPr>
      <w:r>
        <w:rPr>
          <w:sz w:val="24"/>
        </w:rPr>
      </w:r>
    </w:p>
    <w:p>
      <w:pPr>
        <w:pStyle w:val="Body"/>
        <w:ind w:firstLine="648" w:end="0"/>
        <w:rPr>
          <w:sz w:val="24"/>
        </w:rPr>
      </w:pPr>
      <w:r>
        <w:rPr>
          <w:sz w:val="24"/>
        </w:rPr>
      </w:r>
    </w:p>
    <w:p>
      <w:pPr>
        <w:pStyle w:val="Body"/>
        <w:ind w:firstLine="648" w:end="0"/>
        <w:rPr>
          <w:sz w:val="24"/>
        </w:rPr>
      </w:pPr>
      <w:r>
        <w:rPr>
          <w:sz w:val="24"/>
        </w:rPr>
      </w:r>
    </w:p>
    <w:p>
      <w:pPr>
        <w:pStyle w:val="Body"/>
        <w:ind w:firstLine="648" w:end="0"/>
        <w:rPr>
          <w:sz w:val="24"/>
        </w:rPr>
      </w:pPr>
      <w:r>
        <w:rPr>
          <w:sz w:val="24"/>
        </w:rPr>
      </w:r>
    </w:p>
    <w:p>
      <w:pPr>
        <w:pStyle w:val="Body"/>
        <w:ind w:firstLine="648" w:end="0"/>
        <w:rPr>
          <w:sz w:val="24"/>
        </w:rPr>
      </w:pPr>
      <w:r>
        <w:rPr>
          <w:sz w:val="24"/>
        </w:rPr>
        <w:t xml:space="preserve">B.  FACILITIES OPERATIONS – An announcement was made that a variety of EPSC services (such as maintenance, copy center, mail room, convenience copies, records, etc.) will be transitioning over to EES as of January 1, 2001.  We are working closely with the Transition Team in order to assure that legal services are transferred effectively and efficiently.  Apparently, Andy Wu will be responsible for the contracts in these areas, and we have “given” Andy our contract lawyer from Andrews &amp; Kurth who works on these contracts.  </w:t>
      </w:r>
    </w:p>
    <w:p>
      <w:pPr>
        <w:pStyle w:val="Body"/>
        <w:ind w:start="717" w:end="0"/>
        <w:rPr>
          <w:sz w:val="24"/>
        </w:rPr>
      </w:pPr>
      <w:r>
        <w:rPr>
          <w:sz w:val="24"/>
        </w:rPr>
      </w:r>
    </w:p>
    <w:p>
      <w:pPr>
        <w:pStyle w:val="Body"/>
        <w:numPr>
          <w:ilvl w:val="0"/>
          <w:numId w:val="2"/>
        </w:numPr>
        <w:rPr>
          <w:sz w:val="24"/>
        </w:rPr>
      </w:pPr>
      <w:r>
        <w:rPr>
          <w:sz w:val="24"/>
        </w:rPr>
        <w:t>AVIATION/FRACTIONAL OWNERSHIP – In response to a request from an Enron</w:t>
      </w:r>
    </w:p>
    <w:p>
      <w:pPr>
        <w:pStyle w:val="Body"/>
        <w:rPr>
          <w:sz w:val="24"/>
        </w:rPr>
      </w:pPr>
      <w:r>
        <w:rPr>
          <w:sz w:val="24"/>
        </w:rPr>
        <w:t>executive, we have given an oral report to Andy Fastow advising that this program cannot be offered on a cost-neutral basis to Enron executives for their personal travel needs.  Andy is going to make an assessment of how much executive interests there is at Enron in such a program, and then, if necessary, ask for our assistance in helping him negotiate a deal with one of the fractional providers.  Andy’s conclusion at our meeting was that the costs were too high to justify the benefits to the individual.</w:t>
      </w:r>
    </w:p>
    <w:p>
      <w:pPr>
        <w:pStyle w:val="Body"/>
        <w:rPr>
          <w:sz w:val="24"/>
        </w:rPr>
      </w:pPr>
      <w:r>
        <w:rPr>
          <w:sz w:val="24"/>
        </w:rPr>
        <w:tab/>
      </w:r>
    </w:p>
    <w:p>
      <w:pPr>
        <w:pStyle w:val="Body"/>
        <w:rPr>
          <w:sz w:val="24"/>
        </w:rPr>
      </w:pPr>
      <w:r>
        <w:rPr>
          <w:sz w:val="24"/>
        </w:rPr>
      </w:r>
    </w:p>
    <w:p>
      <w:pPr>
        <w:pStyle w:val="Body"/>
        <w:numPr>
          <w:ilvl w:val="0"/>
          <w:numId w:val="3"/>
        </w:numPr>
        <w:rPr>
          <w:sz w:val="24"/>
        </w:rPr>
      </w:pPr>
      <w:r>
        <w:rPr>
          <w:sz w:val="24"/>
        </w:rPr>
        <w:t>POLITICS</w:t>
      </w:r>
    </w:p>
    <w:p>
      <w:pPr>
        <w:pStyle w:val="Body"/>
        <w:rPr>
          <w:sz w:val="24"/>
        </w:rPr>
      </w:pPr>
      <w:r>
        <w:rPr>
          <w:sz w:val="24"/>
        </w:rPr>
      </w:r>
    </w:p>
    <w:p>
      <w:pPr>
        <w:pStyle w:val="Body"/>
        <w:numPr>
          <w:ilvl w:val="0"/>
          <w:numId w:val="4"/>
        </w:numPr>
        <w:rPr>
          <w:sz w:val="24"/>
        </w:rPr>
      </w:pPr>
      <w:r>
        <w:rPr>
          <w:sz w:val="24"/>
        </w:rPr>
        <w:t>ELECTIONS – We have been quite busy processing PAC and corporate check requests</w:t>
      </w:r>
    </w:p>
    <w:p>
      <w:pPr>
        <w:pStyle w:val="Body"/>
        <w:rPr>
          <w:sz w:val="24"/>
        </w:rPr>
      </w:pPr>
      <w:r>
        <w:rPr>
          <w:rFonts w:eastAsia="Arial"/>
          <w:sz w:val="24"/>
        </w:rPr>
        <w:t xml:space="preserve"> </w:t>
      </w:r>
      <w:r>
        <w:rPr>
          <w:sz w:val="24"/>
        </w:rPr>
        <w:t xml:space="preserve">for various political contributions.  We have also worked on being sure that the Bush Campaign correctly paid us for their use of our aircraft.  </w:t>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sz w:val="24"/>
        </w:rPr>
      </w:pPr>
      <w:r>
        <w:rPr>
          <w:sz w:val="24"/>
        </w:rPr>
        <w:t>V.  LITIGATION</w:t>
      </w:r>
    </w:p>
    <w:p>
      <w:pPr>
        <w:pStyle w:val="Body"/>
        <w:rPr>
          <w:sz w:val="24"/>
        </w:rPr>
      </w:pPr>
      <w:r>
        <w:rPr>
          <w:sz w:val="24"/>
        </w:rPr>
      </w:r>
    </w:p>
    <w:p>
      <w:pPr>
        <w:pStyle w:val="Body"/>
        <w:rPr>
          <w:sz w:val="24"/>
        </w:rPr>
      </w:pPr>
      <w:r>
        <w:rPr>
          <w:sz w:val="24"/>
        </w:rPr>
        <w:tab/>
        <w:t>Nothing new to report here.</w:t>
      </w:r>
    </w:p>
    <w:p>
      <w:pPr>
        <w:pStyle w:val="Body"/>
        <w:rPr>
          <w:sz w:val="24"/>
        </w:rPr>
      </w:pPr>
      <w:r>
        <w:rPr>
          <w:sz w:val="24"/>
        </w:rPr>
      </w:r>
    </w:p>
    <w:p>
      <w:pPr>
        <w:pStyle w:val="Body"/>
        <w:rPr>
          <w:sz w:val="24"/>
        </w:rPr>
      </w:pPr>
      <w:r>
        <w:rPr>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1077"/>
        </w:tabs>
        <w:ind w:start="1077" w:hanging="360"/>
      </w:pPr>
      <w:rPr/>
    </w:lvl>
  </w:abstractNum>
  <w:abstractNum w:abstractNumId="3">
    <w:lvl w:ilvl="0">
      <w:start w:val="4"/>
      <w:numFmt w:val="upperRoman"/>
      <w:lvlText w:val="%1."/>
      <w:lvlJc w:val="start"/>
      <w:pPr>
        <w:tabs>
          <w:tab w:val="num" w:pos="792"/>
        </w:tabs>
        <w:ind w:start="792" w:hanging="72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1997-08-06T16:58:00Z</dcterms:created>
  <dc:creator>gulliver</dc:creator>
  <dc:description/>
  <dc:language>en-CA</dc:language>
  <cp:lastModifiedBy>elabano</cp:lastModifiedBy>
  <cp:lastPrinted>2000-12-11T13:24:00Z</cp:lastPrinted>
  <dcterms:modified xsi:type="dcterms:W3CDTF">2000-12-11T16:55:00Z</dcterms:modified>
  <cp:revision>92</cp:revision>
  <dc:subject/>
  <dc:title> </dc:title>
</cp:coreProperties>
</file>