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double" w:sz="6" w:space="1" w:color="000000"/>
        </w:pBdr>
        <w:jc w:val="both"/>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r>
        <w:rPr>
          <w:sz w:val="28"/>
        </w:rPr>
        <w:t>LITIGATION UNIT</w:t>
      </w:r>
    </w:p>
    <w:p>
      <w:pPr>
        <w:pStyle w:val="Normal"/>
        <w:rPr>
          <w:sz w:val="28"/>
          <w:u w:val="single"/>
        </w:rPr>
      </w:pPr>
      <w:r>
        <w:rPr>
          <w:sz w:val="28"/>
          <w:u w:val="single"/>
        </w:rPr>
      </w:r>
    </w:p>
    <w:p>
      <w:pPr>
        <w:pStyle w:val="Normal"/>
        <w:numPr>
          <w:ilvl w:val="0"/>
          <w:numId w:val="0"/>
        </w:numPr>
        <w:jc w:val="center"/>
        <w:outlineLvl w:val="0"/>
        <w:rPr>
          <w:u w:val="single"/>
        </w:rPr>
      </w:pPr>
      <w:r>
        <w:rPr>
          <w:u w:val="single"/>
        </w:rPr>
        <w:t>M E M O R A N D U M</w:t>
      </w:r>
    </w:p>
    <w:p>
      <w:pPr>
        <w:pStyle w:val="Normal"/>
        <w:jc w:val="both"/>
        <w:rPr/>
      </w:pPr>
      <w:r>
        <w:rPr/>
      </w:r>
    </w:p>
    <w:p>
      <w:pPr>
        <w:pStyle w:val="Normal"/>
        <w:tabs>
          <w:tab w:val="clear" w:pos="720"/>
          <w:tab w:val="left" w:pos="1440" w:leader="none"/>
        </w:tabs>
        <w:jc w:val="both"/>
        <w:rPr/>
      </w:pPr>
      <w:r>
        <w:rPr/>
        <w:t>TO:</w:t>
        <w:tab/>
        <w:t>John Ale</w:t>
        <w:tab/>
        <w:tab/>
      </w:r>
      <w:r>
        <w:rPr>
          <w:b/>
          <w:bCs/>
        </w:rPr>
        <w:t>Via Inter-office Mail</w:t>
      </w:r>
    </w:p>
    <w:p>
      <w:pPr>
        <w:pStyle w:val="Normal"/>
        <w:tabs>
          <w:tab w:val="clear" w:pos="720"/>
          <w:tab w:val="left" w:pos="1440" w:leader="none"/>
        </w:tabs>
        <w:jc w:val="both"/>
        <w:rPr/>
      </w:pPr>
      <w:r>
        <w:rPr/>
        <w:tab/>
        <w:t>Alvin Alexanderson</w:t>
      </w:r>
    </w:p>
    <w:p>
      <w:pPr>
        <w:pStyle w:val="Normal"/>
        <w:tabs>
          <w:tab w:val="clear" w:pos="720"/>
          <w:tab w:val="left" w:pos="1440" w:leader="none"/>
        </w:tabs>
        <w:jc w:val="both"/>
        <w:rPr/>
      </w:pPr>
      <w:r>
        <w:rPr/>
        <w:tab/>
        <w:t>Drew Fossum</w:t>
      </w:r>
    </w:p>
    <w:p>
      <w:pPr>
        <w:pStyle w:val="Normal"/>
        <w:tabs>
          <w:tab w:val="clear" w:pos="720"/>
          <w:tab w:val="left" w:pos="1440" w:leader="none"/>
        </w:tabs>
        <w:jc w:val="both"/>
        <w:rPr/>
      </w:pPr>
      <w:r>
        <w:rPr/>
        <w:tab/>
        <w:t>Mark Haedicke</w:t>
      </w:r>
    </w:p>
    <w:p>
      <w:pPr>
        <w:pStyle w:val="Normal"/>
        <w:tabs>
          <w:tab w:val="clear" w:pos="720"/>
          <w:tab w:val="left" w:pos="1440" w:leader="none"/>
        </w:tabs>
        <w:jc w:val="both"/>
        <w:rPr/>
      </w:pPr>
      <w:r>
        <w:rPr/>
        <w:tab/>
        <w:t>Elizabeth Labanowski</w:t>
      </w:r>
    </w:p>
    <w:p>
      <w:pPr>
        <w:pStyle w:val="Normal"/>
        <w:tabs>
          <w:tab w:val="clear" w:pos="720"/>
          <w:tab w:val="left" w:pos="1440" w:leader="none"/>
        </w:tabs>
        <w:jc w:val="both"/>
        <w:rPr/>
      </w:pPr>
      <w:r>
        <w:rPr/>
        <w:tab/>
        <w:t>Marc Manly</w:t>
      </w:r>
    </w:p>
    <w:p>
      <w:pPr>
        <w:pStyle w:val="Normal"/>
        <w:tabs>
          <w:tab w:val="clear" w:pos="720"/>
          <w:tab w:val="left" w:pos="1440" w:leader="none"/>
        </w:tabs>
        <w:jc w:val="both"/>
        <w:rPr/>
      </w:pPr>
      <w:r>
        <w:rPr/>
        <w:tab/>
        <w:t>Jordan Mintz</w:t>
      </w:r>
    </w:p>
    <w:p>
      <w:pPr>
        <w:pStyle w:val="Normal"/>
        <w:tabs>
          <w:tab w:val="clear" w:pos="720"/>
          <w:tab w:val="left" w:pos="1440" w:leader="none"/>
        </w:tabs>
        <w:jc w:val="both"/>
        <w:rPr/>
      </w:pPr>
      <w:r>
        <w:rPr/>
        <w:tab/>
        <w:t>Kristina Mordaunt</w:t>
      </w:r>
    </w:p>
    <w:p>
      <w:pPr>
        <w:pStyle w:val="Normal"/>
        <w:tabs>
          <w:tab w:val="clear" w:pos="720"/>
          <w:tab w:val="left" w:pos="1440" w:leader="none"/>
        </w:tabs>
        <w:jc w:val="both"/>
        <w:rPr/>
      </w:pPr>
      <w:r>
        <w:rPr/>
        <w:tab/>
        <w:t>Eric Newell</w:t>
      </w:r>
    </w:p>
    <w:p>
      <w:pPr>
        <w:pStyle w:val="Normal"/>
        <w:tabs>
          <w:tab w:val="clear" w:pos="720"/>
          <w:tab w:val="left" w:pos="1440" w:leader="none"/>
        </w:tabs>
        <w:jc w:val="both"/>
        <w:rPr/>
      </w:pPr>
      <w:r>
        <w:rPr/>
        <w:tab/>
        <w:t>Janet K. Place</w:t>
      </w:r>
    </w:p>
    <w:p>
      <w:pPr>
        <w:pStyle w:val="Normal"/>
        <w:tabs>
          <w:tab w:val="clear" w:pos="720"/>
          <w:tab w:val="left" w:pos="1440" w:leader="none"/>
        </w:tabs>
        <w:jc w:val="both"/>
        <w:rPr/>
      </w:pPr>
      <w:r>
        <w:rPr/>
        <w:tab/>
        <w:t>Rex Rogers</w:t>
      </w:r>
    </w:p>
    <w:p>
      <w:pPr>
        <w:pStyle w:val="Normal"/>
        <w:tabs>
          <w:tab w:val="clear" w:pos="720"/>
          <w:tab w:val="left" w:pos="1440" w:leader="none"/>
        </w:tabs>
        <w:jc w:val="both"/>
        <w:rPr/>
      </w:pPr>
      <w:r>
        <w:rPr/>
        <w:tab/>
        <w:t>Molly Sample</w:t>
      </w:r>
    </w:p>
    <w:p>
      <w:pPr>
        <w:pStyle w:val="Normal"/>
        <w:tabs>
          <w:tab w:val="clear" w:pos="720"/>
          <w:tab w:val="left" w:pos="1440" w:leader="none"/>
        </w:tabs>
        <w:jc w:val="both"/>
        <w:rPr/>
      </w:pPr>
      <w:r>
        <w:rPr/>
        <w:tab/>
        <w:t>Vicki Sharp</w:t>
      </w:r>
    </w:p>
    <w:p>
      <w:pPr>
        <w:pStyle w:val="Normal"/>
        <w:tabs>
          <w:tab w:val="clear" w:pos="720"/>
          <w:tab w:val="left" w:pos="1440" w:leader="none"/>
        </w:tabs>
        <w:jc w:val="both"/>
        <w:rPr/>
      </w:pPr>
      <w:r>
        <w:rPr/>
        <w:tab/>
        <w:t>Stephen Wallace</w:t>
      </w:r>
    </w:p>
    <w:p>
      <w:pPr>
        <w:pStyle w:val="Normal"/>
        <w:jc w:val="both"/>
        <w:rPr/>
      </w:pPr>
      <w:r>
        <w:rPr/>
      </w:r>
    </w:p>
    <w:p>
      <w:pPr>
        <w:pStyle w:val="Normal"/>
        <w:numPr>
          <w:ilvl w:val="0"/>
          <w:numId w:val="0"/>
        </w:numPr>
        <w:jc w:val="both"/>
        <w:outlineLvl w:val="0"/>
        <w:rPr/>
      </w:pPr>
      <w:r>
        <w:rPr/>
        <w:t>FROM:</w:t>
        <w:tab/>
        <w:t>C. Robert Vote</w:t>
      </w:r>
    </w:p>
    <w:p>
      <w:pPr>
        <w:pStyle w:val="Normal"/>
        <w:jc w:val="both"/>
        <w:rPr/>
      </w:pPr>
      <w:r>
        <w:rPr/>
      </w:r>
    </w:p>
    <w:p>
      <w:pPr>
        <w:pStyle w:val="Normal"/>
        <w:ind w:hanging="1440" w:start="1440" w:end="0"/>
        <w:jc w:val="both"/>
        <w:rPr/>
      </w:pPr>
      <w:r>
        <w:rPr/>
        <w:t>RE:</w:t>
        <w:tab/>
      </w:r>
      <w:r>
        <w:rPr>
          <w:i/>
          <w:iCs/>
        </w:rPr>
        <w:t xml:space="preserve">In re:  Winstar Communications, Inc., et al, Debtors; </w:t>
      </w:r>
      <w:r>
        <w:rPr/>
        <w:t xml:space="preserve"> No. 01-1430(JJF);  In the United States Bankruptcy Court for the District of Delaware</w:t>
      </w:r>
    </w:p>
    <w:p>
      <w:pPr>
        <w:pStyle w:val="Normal"/>
        <w:ind w:hanging="1440" w:start="1440" w:end="0"/>
        <w:jc w:val="both"/>
        <w:rPr/>
      </w:pPr>
      <w:r>
        <w:rPr/>
        <w:t xml:space="preserve"> </w:t>
      </w:r>
    </w:p>
    <w:p>
      <w:pPr>
        <w:pStyle w:val="Normal"/>
        <w:jc w:val="both"/>
        <w:rPr/>
      </w:pPr>
      <w:r>
        <w:rPr/>
        <w:t>DATE:</w:t>
        <w:tab/>
        <w:tab/>
        <w:t>April 30, 2001</w:t>
      </w:r>
    </w:p>
    <w:p>
      <w:pPr>
        <w:pStyle w:val="Normal"/>
        <w:jc w:val="both"/>
        <w:rPr>
          <w:b/>
          <w:bCs/>
        </w:rPr>
      </w:pPr>
      <w:r>
        <w:rPr>
          <w:b/>
          <w:bCs/>
        </w:rPr>
        <w:t>______________________________________________________________________________</w:t>
      </w:r>
    </w:p>
    <w:p>
      <w:pPr>
        <w:pStyle w:val="BodyText"/>
        <w:rPr/>
      </w:pPr>
      <w:r>
        <w:rPr/>
        <w:tab/>
      </w:r>
    </w:p>
    <w:p>
      <w:pPr>
        <w:pStyle w:val="BodyText"/>
        <w:rPr/>
      </w:pPr>
      <w:r>
        <w:rPr/>
        <w:tab/>
        <w:t>The Litigation Unit received the attached Motion for Interim and Final Order Under 11 U.S.C. Sect. 105, et al. (I) Prohibiting Utilities from Alerting, Refusing or Discontinuing Services on Account of Prepetition Claims, (II) Establishing Procedures for Determining Requests for Additional Adequate Assurance and (III) Scheduling a Final Hearing regarding the above referenced matter.  This Motion was served on “Enron” by first class mail on April 27, 2001.  We do not see any Enron entity listed on the list of creditors, however, most of the creditors appear to be electric power companies.  We are checking with Accounts Receivable.</w:t>
      </w:r>
    </w:p>
    <w:p>
      <w:pPr>
        <w:pStyle w:val="BodyText"/>
        <w:rPr/>
      </w:pPr>
      <w:r>
        <w:rPr/>
      </w:r>
    </w:p>
    <w:p>
      <w:pPr>
        <w:pStyle w:val="BodyText"/>
        <w:rPr/>
      </w:pPr>
      <w:r>
        <w:rPr/>
        <w:tab/>
        <w:t>Please advise whether you are familiar with the debtor.  Thank you.</w:t>
      </w:r>
    </w:p>
    <w:p>
      <w:pPr>
        <w:pStyle w:val="Normal"/>
        <w:jc w:val="center"/>
        <w:rPr/>
      </w:pPr>
      <w:r>
        <w:rPr/>
        <w:t>________________________________________________</w:t>
      </w:r>
    </w:p>
    <w:p>
      <w:pPr>
        <w:pStyle w:val="Normal"/>
        <w:jc w:val="both"/>
        <w:rPr/>
      </w:pPr>
      <w:r>
        <w:rPr/>
        <w:t>CRV:lar</w:t>
      </w:r>
    </w:p>
    <w:p>
      <w:pPr>
        <w:pStyle w:val="Normal"/>
        <w:jc w:val="both"/>
        <w:rPr/>
      </w:pPr>
      <w:r>
        <w:rPr/>
        <w:t>Attachment</w:t>
      </w:r>
    </w:p>
    <w:p>
      <w:pPr>
        <w:pStyle w:val="Normal"/>
        <w:rPr/>
      </w:pPr>
      <w:r>
        <w:rPr/>
        <w:t>cc:</w:t>
        <w:tab/>
        <w:t xml:space="preserve">NOF file </w:t>
      </w:r>
    </w:p>
    <w:p>
      <w:pPr>
        <w:pStyle w:val="Normal"/>
        <w:rPr>
          <w:sz w:val="16"/>
        </w:rPr>
      </w:pPr>
      <w:r>
        <w:rPr>
          <w:sz w:val="16"/>
        </w:rPr>
        <w:fldChar w:fldCharType="begin"/>
      </w:r>
      <w:r>
        <w:rPr>
          <w:sz w:val="16"/>
        </w:rPr>
        <w:instrText xml:space="preserve"> FILENAME </w:instrText>
      </w:r>
      <w:r>
        <w:rPr>
          <w:sz w:val="16"/>
        </w:rPr>
        <w:fldChar w:fldCharType="separate"/>
      </w:r>
      <w:r>
        <w:rPr>
          <w:sz w:val="16"/>
        </w:rPr>
        <w:t>mm_sharp4.doc</w:t>
      </w:r>
      <w:r>
        <w:rPr>
          <w:sz w:val="16"/>
        </w:rPr>
        <w:fldChar w:fldCharType="end"/>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2001-04-30T14:04:00Z</dcterms:created>
  <dc:creator>Enron</dc:creator>
  <dc:description/>
  <dc:language>en-CA</dc:language>
  <cp:lastModifiedBy>mlawles</cp:lastModifiedBy>
  <cp:lastPrinted>2001-04-30T14:42:00Z</cp:lastPrinted>
  <dcterms:modified xsi:type="dcterms:W3CDTF">2001-04-30T17:12:00Z</dcterms:modified>
  <cp:revision>3</cp:revision>
  <dc:subject/>
  <dc:title> LITIGATION UNIT</dc:title>
</cp:coreProperties>
</file>