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uto" w:line="480"/>
        <w:ind w:firstLine="720" w:end="0"/>
        <w:jc w:val="both"/>
        <w:rPr/>
      </w:pPr>
      <w:r>
        <w:rPr/>
        <w:t xml:space="preserve">EPMI asks the Commission to condition the market rate authority of ______ and of all other  vertically integrated transmission-owning electric utilities on full and complete participation in a regional transmission organization ("RTO") by December 15, 2001, as contemplated in the Commission's Order No. 2000.  </w:t>
      </w:r>
      <w:r>
        <w:rPr>
          <w:i/>
          <w:iCs/>
        </w:rPr>
        <w:t>Regional Transmission Organizations</w:t>
      </w:r>
      <w:r>
        <w:rPr/>
        <w:t xml:space="preserve">, Order No. 2000, III F.E.R.C. Stats. &amp; Regs. ¶ 31,089 at 30,994 (2000) [hereinafter cited as </w:t>
      </w:r>
      <w:r>
        <w:rPr>
          <w:i/>
          <w:iCs/>
        </w:rPr>
        <w:t>Order No. 2000</w:t>
      </w:r>
      <w:r>
        <w:rPr/>
        <w:t xml:space="preserve">], </w:t>
      </w:r>
      <w:r>
        <w:rPr>
          <w:i/>
          <w:iCs/>
        </w:rPr>
        <w:t>order on reh'g</w:t>
      </w:r>
      <w:r>
        <w:rPr/>
        <w:t xml:space="preserve">, Order No. 2000-A, </w:t>
      </w:r>
      <w:r>
        <w:rPr>
          <w:i/>
          <w:iCs/>
        </w:rPr>
        <w:t xml:space="preserve">id. </w:t>
      </w:r>
      <w:r>
        <w:rPr/>
        <w:t xml:space="preserve">¶ 31,092 (2000), </w:t>
      </w:r>
      <w:r>
        <w:rPr>
          <w:i/>
          <w:iCs/>
        </w:rPr>
        <w:t>appeal docketed sub nom. Public Utility District No. 1 of Snohomish County, Washington v. FERC</w:t>
      </w:r>
      <w:r>
        <w:rPr/>
        <w:t xml:space="preserve">, Nos. 00-1174, </w:t>
      </w:r>
      <w:r>
        <w:rPr>
          <w:i/>
          <w:iCs/>
        </w:rPr>
        <w:t>et al</w:t>
      </w:r>
      <w:r>
        <w:rPr/>
        <w:t>., (D.C. Cir. April 24, 2000).  Absent such compliance, there is no basis for the Commission to assume that a transmission owner has mitigated its transmission market power and ability to discriminate against its transmission dependent competitors.</w:t>
      </w:r>
    </w:p>
    <w:p>
      <w:pPr>
        <w:sectPr>
          <w:type w:val="nextPage"/>
          <w:pgSz w:w="12240" w:h="15840"/>
          <w:pgMar w:left="1440" w:right="1440" w:gutter="0" w:header="0" w:top="1440" w:footer="0" w:bottom="1440"/>
          <w:pgNumType w:fmt="decimal"/>
          <w:formProt w:val="false"/>
          <w:textDirection w:val="lrTb"/>
        </w:sectPr>
      </w:pPr>
    </w:p>
    <w:p>
      <w:pPr>
        <w:pStyle w:val="Normal"/>
        <w:widowControl/>
        <w:spacing w:lineRule="auto" w:line="480"/>
        <w:ind w:firstLine="720" w:end="0"/>
        <w:jc w:val="both"/>
        <w:rPr/>
      </w:pPr>
      <w:r>
        <w:rPr/>
        <w:t xml:space="preserve">In Order No. 2000 and earlier orders the Commission has repeatedly recognized that vertically integrated transmission system owners have an inherent incentive to use their transmission monopolies to discriminate in favor of their own and affiliated power merchant activities.  </w:t>
      </w:r>
      <w:r>
        <w:rPr>
          <w:i/>
          <w:iCs/>
        </w:rPr>
        <w:t>E.g.</w:t>
      </w:r>
      <w:r>
        <w:rPr/>
        <w:t xml:space="preserve">, </w:t>
      </w:r>
      <w:r>
        <w:rPr>
          <w:i/>
          <w:iCs/>
        </w:rPr>
        <w:t>Order No. 2000</w:t>
      </w:r>
      <w:r>
        <w:rPr/>
        <w:t xml:space="preserve"> at 31,004-05, 31,015-17; </w:t>
      </w:r>
      <w:r>
        <w:rPr>
          <w:i/>
          <w:iCs/>
        </w:rPr>
        <w:t>Promoting Wholesale Competition Through Open Access Non-Discriminatory Transmission Services by Public Utilities; Recovery of Stranded Costs by Public Utilities and Transmitting Utilities</w:t>
      </w:r>
      <w:r>
        <w:rPr/>
        <w:t xml:space="preserve">, Order No. 888,[1991-96 Reg. Preambles] F.E.R.C. Stats. &amp; Regs. ¶ 31,036 at 31,682 (1996), </w:t>
      </w:r>
      <w:r>
        <w:rPr>
          <w:i/>
          <w:iCs/>
        </w:rPr>
        <w:t>clarified</w:t>
      </w:r>
      <w:r>
        <w:rPr/>
        <w:t xml:space="preserve">, 76 F.E.R.C. ¶¶ 61,009, 61,347 (1996), </w:t>
      </w:r>
      <w:r>
        <w:rPr>
          <w:i/>
          <w:iCs/>
        </w:rPr>
        <w:t>order on reh'g</w:t>
      </w:r>
      <w:r>
        <w:rPr/>
        <w:t xml:space="preserve">, Order No. 888-A,  III F.E.R.C. Stats. &amp; Regs. ¶ 31,048 (1997), </w:t>
      </w:r>
      <w:r>
        <w:rPr>
          <w:i/>
          <w:iCs/>
        </w:rPr>
        <w:t>order on reh'g</w:t>
      </w:r>
      <w:r>
        <w:rPr/>
        <w:t xml:space="preserve">, Order No. 888-B, 62 Fed. Reg. 64,688 (Dec. 9, 1997), 81 F.E.R.C. ¶ 61,248 (1997), </w:t>
      </w:r>
      <w:r>
        <w:rPr>
          <w:i/>
          <w:iCs/>
        </w:rPr>
        <w:t>aff'd and remanded sub nom. Transmission Access Policy Study Group v. FERC</w:t>
      </w:r>
      <w:r>
        <w:rPr/>
        <w:t xml:space="preserve">, 225 F.3d 667 (D.C. Cir. 2000).  The primary reason (in addition to promoting efficiencies) for proposing and later adopting the RTO rulemaking was the Commission conclusion that participation in an RTO is necessary to abate a vertically integrated transmission owner's market power over transmission and resulting ability to discriminate against its transmission-dependent competitors.  </w:t>
      </w:r>
      <w:r>
        <w:rPr>
          <w:i/>
          <w:iCs/>
        </w:rPr>
        <w:t>Order No. 2000</w:t>
      </w:r>
      <w:r>
        <w:rPr/>
        <w:t xml:space="preserve"> at 31,003, 31,024, 31,025 ("RTOs . . . will reduce the potential for market power abuse").  Central to that conclusion was the Commission's finding in Order No. 2000 that functional unbundling, including having on file with the Commission an Open-Access Transmission Tariff ("OATT"), had not succeeded in rooting out  the incentive and ability of vertically integrated transmission owners to exercise transmission market power to discriminate against their transmission-dependent competitors.  </w:t>
      </w:r>
      <w:r>
        <w:rPr>
          <w:i/>
          <w:iCs/>
        </w:rPr>
        <w:t>Order No. 2000</w:t>
      </w:r>
      <w:r>
        <w:rPr/>
        <w:t xml:space="preserve"> at 31,016-17.</w:t>
      </w:r>
    </w:p>
    <w:p>
      <w:pPr>
        <w:pStyle w:val="Normal"/>
        <w:widowControl/>
        <w:spacing w:lineRule="auto" w:line="480"/>
        <w:ind w:firstLine="720" w:end="0"/>
        <w:jc w:val="both"/>
        <w:rPr/>
      </w:pPr>
      <w:r>
        <w:rPr/>
        <w:t xml:space="preserve">In Order No. 2000, the Commission chose to make RTO participation voluntary and not mandatory.  However, the Commission Staff recently recognized that utilities with the native load exception (all uses of the system </w:t>
      </w:r>
      <w:r>
        <w:rPr>
          <w:u w:val="single"/>
        </w:rPr>
        <w:t>not</w:t>
      </w:r>
      <w:r>
        <w:rPr/>
        <w:t xml:space="preserve"> under the same tariff) continue to have incentives to favor their own load </w:t>
      </w:r>
      <w:r>
        <w:rPr>
          <w:u w:val="single"/>
        </w:rPr>
        <w:t>even if they belong to an RTO</w:t>
      </w:r>
      <w:r>
        <w:rPr/>
        <w:t xml:space="preserve"> -- if they are allowed to continue to calculate ATC and determine what information is available to third parties.</w:t>
      </w:r>
      <w:r>
        <w:rPr>
          <w:rStyle w:val="FootnoteCharacters"/>
          <w:rStyle w:val="FootnoteReference"/>
        </w:rPr>
        <w:footnoteReference w:id="2"/>
      </w:r>
      <w:r>
        <w:rPr/>
        <w:t xml:space="preserve">  Moreover, Staff found that market participants appear to have less confidence in the Southeast market, in terms of the ability to conduct wholesale transactions without discrimination, than market participants have in other regions of the country.</w:t>
      </w:r>
      <w:r>
        <w:rPr>
          <w:rStyle w:val="FootnoteCharacters"/>
          <w:rStyle w:val="FootnoteReference"/>
        </w:rPr>
        <w:footnoteReference w:id="3"/>
      </w:r>
    </w:p>
    <w:p>
      <w:pPr>
        <w:pStyle w:val="Normal"/>
        <w:widowControl/>
        <w:spacing w:lineRule="auto" w:line="480"/>
        <w:ind w:firstLine="720" w:end="0"/>
        <w:jc w:val="both"/>
        <w:rPr/>
      </w:pPr>
      <w:r>
        <w:rPr/>
        <w:t xml:space="preserve">If a transmission owner volunteers </w:t>
      </w:r>
      <w:r>
        <w:rPr>
          <w:i/>
          <w:iCs/>
        </w:rPr>
        <w:t xml:space="preserve">not </w:t>
      </w:r>
      <w:r>
        <w:rPr/>
        <w:t>to participate by the December 15, 2001, deadline,</w:t>
      </w:r>
      <w:r>
        <w:rPr>
          <w:color w:val="000000"/>
        </w:rPr>
        <w:t xml:space="preserve"> or if a transmission owner does not join a fully functioning RTO that meets all of the Commission's requirements,</w:t>
      </w:r>
      <w:r>
        <w:rPr/>
        <w:t xml:space="preserve"> then it should cease to benefit from any assumption that it has mitigated transmission market power.  Selling power at market-based (as opposed to cost-based) rates is not a right, but rather a privilege enjoyed by sellers that can demonstrate that they are price takers, unable to exercise market power.  </w:t>
      </w:r>
      <w:r>
        <w:rPr>
          <w:i/>
          <w:iCs/>
        </w:rPr>
        <w:t>E.g.</w:t>
      </w:r>
      <w:r>
        <w:rPr/>
        <w:t xml:space="preserve">, </w:t>
      </w:r>
      <w:r>
        <w:rPr>
          <w:i/>
          <w:iCs/>
        </w:rPr>
        <w:t>Citizens Power &amp; Light Corp</w:t>
      </w:r>
      <w:r>
        <w:rPr/>
        <w:t>., 48 F.E.R.C. ¶ 61,210 at 61,778 (1989) (discussing ongoing obligation to eliminate or mitigate market power).  Any vertically integrated transmission monopoly that stops short of taking every step that the Commission identifies as needed to abate market power and root out discrimination should be denied the privilege of selling power at market-based rates.  It simply cannot be trusted not to abuse the privilege.</w:t>
      </w:r>
    </w:p>
    <w:p>
      <w:pPr>
        <w:pStyle w:val="Normal"/>
        <w:widowControl/>
        <w:spacing w:lineRule="auto" w:line="480"/>
        <w:jc w:val="both"/>
        <w:rPr/>
      </w:pPr>
      <w:r>
        <w:rPr/>
      </w:r>
    </w:p>
    <w:p>
      <w:pPr>
        <w:pStyle w:val="Normal"/>
        <w:widowControl/>
        <w:spacing w:lineRule="auto" w:line="480"/>
        <w:jc w:val="both"/>
        <w:rPr>
          <w:sz w:val="20"/>
          <w:szCs w:val="20"/>
        </w:rPr>
      </w:pPr>
      <w:r>
        <w:rPr>
          <w:sz w:val="20"/>
          <w:szCs w:val="20"/>
        </w:rPr>
        <w:t>133731</w:t>
      </w:r>
    </w:p>
    <w:sectPr>
      <w:footnotePr>
        <w:numFmt w:val="decimal"/>
      </w:footnotePr>
      <w:type w:val="continuous"/>
      <w:pgSz w:w="12240" w:h="15840"/>
      <w:pgMar w:left="1440" w:right="1440" w:gutter="0" w:header="0" w:top="1440"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“As a consequence, the Commission may wish to eliminate the native load exemption and have all transactions under the same tariff.”  </w:t>
      </w:r>
      <w:r>
        <w:rPr>
          <w:i/>
          <w:iCs/>
        </w:rPr>
        <w:t xml:space="preserve">Investigation of Bulk Power Markets, Midwest Region, Issued November 1, 2000 </w:t>
      </w:r>
      <w:r>
        <w:rPr/>
        <w:t>at p. 2-40.</w:t>
      </w:r>
    </w:p>
  </w:footnote>
  <w:footnote w:id="3">
    <w:p>
      <w:pPr>
        <w:pStyle w:val="FootnoteText"/>
        <w:rPr/>
      </w:pPr>
      <w:r>
        <w:rPr>
          <w:rStyle w:val="FootnoteCharacters"/>
        </w:rPr>
        <w:footnoteRef/>
      </w:r>
      <w:r>
        <w:rPr/>
        <w:t xml:space="preserve"> </w:t>
      </w:r>
      <w:r>
        <w:rPr/>
        <w:tab/>
      </w:r>
      <w:r>
        <w:rPr>
          <w:i/>
          <w:iCs/>
        </w:rPr>
        <w:t>Investigation of Bulk Power Markets, Southeast Region, Issued November 1, 1000</w:t>
      </w:r>
      <w:r>
        <w:rPr/>
        <w:t xml:space="preserve"> at p. 3-34.</w:t>
      </w:r>
    </w:p>
  </w:footnote>
</w:footnotes>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2000-11-14T18:02:00Z</dcterms:created>
  <dc:creator>appinst</dc:creator>
  <dc:description/>
  <dc:language>en-CA</dc:language>
  <cp:lastModifiedBy>appinst</cp:lastModifiedBy>
  <dcterms:modified xsi:type="dcterms:W3CDTF">2000-11-14T20:17:00Z</dcterms:modified>
  <cp:revision>3</cp:revision>
  <dc:subject/>
  <dc:title/>
</cp:coreProperties>
</file>