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380" w:leader="none"/>
        </w:tabs>
        <w:jc w:val="end"/>
        <w:rPr>
          <w:bCs/>
          <w:sz w:val="22"/>
        </w:rPr>
      </w:pPr>
      <w:r>
        <w:rPr>
          <w:bCs/>
          <w:sz w:val="22"/>
        </w:rPr>
        <w:t>(Last Revised: 31st July 2001)</w:t>
      </w:r>
    </w:p>
    <w:p>
      <w:pPr>
        <w:pStyle w:val="Heading"/>
        <w:rPr>
          <w:bCs/>
          <w:sz w:val="32"/>
        </w:rPr>
      </w:pPr>
      <w:r>
        <w:rPr>
          <w:bCs/>
          <w:sz w:val="32"/>
        </w:rPr>
      </w:r>
    </w:p>
    <w:p>
      <w:pPr>
        <w:pStyle w:val="Heading"/>
        <w:rPr>
          <w:sz w:val="32"/>
        </w:rPr>
      </w:pPr>
      <w:r>
        <w:rPr>
          <w:sz w:val="32"/>
        </w:rPr>
        <w:t>ENRON EUROPE - LONDON</w:t>
      </w:r>
    </w:p>
    <w:p>
      <w:pPr>
        <w:pStyle w:val="Heading"/>
        <w:rPr>
          <w:sz w:val="32"/>
          <w:u w:val="single"/>
        </w:rPr>
      </w:pPr>
      <w:r>
        <w:rPr>
          <w:sz w:val="32"/>
          <w:u w:val="single"/>
        </w:rPr>
        <w:t>Contract Authorisation Control Sheet (CACS)</w:t>
      </w:r>
    </w:p>
    <w:p>
      <w:pPr>
        <w:pStyle w:val="Heading"/>
        <w:rPr>
          <w:sz w:val="32"/>
          <w:u w:val="single"/>
        </w:rPr>
      </w:pPr>
      <w:r>
        <w:rPr>
          <w:sz w:val="32"/>
          <w:u w:val="single"/>
        </w:rPr>
      </w:r>
    </w:p>
    <w:p>
      <w:pPr>
        <w:pStyle w:val="Heading"/>
        <w:jc w:val="start"/>
        <w:rPr>
          <w:sz w:val="22"/>
        </w:rPr>
      </w:pPr>
      <w:r>
        <w:rPr>
          <w:sz w:val="22"/>
        </w:rPr>
        <w:t>NOTES:</w:t>
      </w:r>
    </w:p>
    <w:p>
      <w:pPr>
        <w:pStyle w:val="Heading"/>
        <w:jc w:val="start"/>
        <w:rPr>
          <w:sz w:val="22"/>
        </w:rPr>
      </w:pPr>
      <w:r>
        <w:rPr>
          <w:sz w:val="22"/>
        </w:rPr>
        <w:t>- The CACS process is potentially applicable to ALL contractual activity in ALL Enron Europe’s offices.</w:t>
      </w:r>
    </w:p>
    <w:p>
      <w:pPr>
        <w:pStyle w:val="Heading"/>
        <w:jc w:val="start"/>
        <w:rPr>
          <w:sz w:val="22"/>
        </w:rPr>
      </w:pPr>
      <w:r>
        <w:rPr>
          <w:sz w:val="22"/>
        </w:rPr>
        <w:t>- The Enron lawyer responsible for a contract(s) will advise whether the contract needs to be CACSed.</w:t>
      </w:r>
    </w:p>
    <w:p>
      <w:pPr>
        <w:pStyle w:val="Heading"/>
        <w:jc w:val="start"/>
        <w:rPr>
          <w:sz w:val="22"/>
        </w:rPr>
      </w:pPr>
      <w:r>
        <w:rPr>
          <w:sz w:val="22"/>
        </w:rPr>
        <w:t>- CACS forms are prepared by the Enron lawyer responsible for the contract(s) to be CACSed.</w:t>
      </w:r>
    </w:p>
    <w:p>
      <w:pPr>
        <w:pStyle w:val="Heading"/>
        <w:jc w:val="start"/>
        <w:rPr>
          <w:sz w:val="22"/>
        </w:rPr>
      </w:pPr>
      <w:r>
        <w:rPr>
          <w:sz w:val="22"/>
        </w:rPr>
        <w:t xml:space="preserve">- This form can be circulated and signed off ELECTRONICALLY. </w:t>
      </w:r>
    </w:p>
    <w:p>
      <w:pPr>
        <w:pStyle w:val="Heading"/>
        <w:jc w:val="start"/>
        <w:rPr>
          <w:sz w:val="22"/>
        </w:rPr>
      </w:pPr>
      <w:r>
        <w:rPr>
          <w:sz w:val="22"/>
        </w:rPr>
        <w:t>- Further guidance notes appear below.</w:t>
      </w:r>
    </w:p>
    <w:p>
      <w:pPr>
        <w:pStyle w:val="Heading"/>
        <w:jc w:val="start"/>
        <w:rPr>
          <w:sz w:val="32"/>
        </w:rPr>
      </w:pPr>
      <w:r>
        <w:rPr>
          <w:sz w:val="32"/>
        </w:rPr>
      </w:r>
    </w:p>
    <w:tbl>
      <w:tblPr>
        <w:tblW w:w="9901" w:type="dxa"/>
        <w:jc w:val="start"/>
        <w:tblInd w:w="-252" w:type="dxa"/>
        <w:tblLayout w:type="fixed"/>
        <w:tblCellMar>
          <w:top w:w="0" w:type="dxa"/>
          <w:start w:w="108" w:type="dxa"/>
          <w:bottom w:w="0" w:type="dxa"/>
          <w:end w:w="108" w:type="dxa"/>
        </w:tblCellMar>
      </w:tblPr>
      <w:tblGrid>
        <w:gridCol w:w="3330"/>
        <w:gridCol w:w="2430"/>
        <w:gridCol w:w="2070"/>
        <w:gridCol w:w="2071"/>
      </w:tblGrid>
      <w:tr>
        <w:trPr/>
        <w:tc>
          <w:tcPr>
            <w:tcW w:w="3330" w:type="dxa"/>
            <w:tcBorders>
              <w:top w:val="single" w:sz="6" w:space="0" w:color="000000"/>
              <w:start w:val="single" w:sz="6" w:space="0" w:color="000000"/>
              <w:end w:val="single" w:sz="4" w:space="0" w:color="000000"/>
            </w:tcBorders>
          </w:tcPr>
          <w:p>
            <w:pPr>
              <w:pStyle w:val="Normal"/>
              <w:spacing w:lineRule="auto" w:line="360"/>
              <w:rPr>
                <w:sz w:val="20"/>
              </w:rPr>
            </w:pPr>
            <w:r>
              <w:rPr>
                <w:sz w:val="20"/>
              </w:rPr>
              <w:t>Enron Entity (ies):</w:t>
            </w:r>
          </w:p>
        </w:tc>
        <w:tc>
          <w:tcPr>
            <w:tcW w:w="6571" w:type="dxa"/>
            <w:gridSpan w:val="3"/>
            <w:tcBorders>
              <w:top w:val="single" w:sz="6" w:space="0" w:color="000000"/>
              <w:start w:val="single" w:sz="4" w:space="0" w:color="000000"/>
              <w:end w:val="single" w:sz="6" w:space="0" w:color="000000"/>
            </w:tcBorders>
          </w:tcPr>
          <w:p>
            <w:pPr>
              <w:pStyle w:val="Normal"/>
              <w:spacing w:lineRule="auto" w:line="360"/>
              <w:rPr>
                <w:sz w:val="20"/>
              </w:rPr>
            </w:pPr>
            <w:r>
              <w:rPr>
                <w:sz w:val="20"/>
              </w:rPr>
              <w:t>ECTRIC through EEFT</w:t>
            </w:r>
          </w:p>
        </w:tc>
      </w:tr>
      <w:tr>
        <w:trPr/>
        <w:tc>
          <w:tcPr>
            <w:tcW w:w="3330" w:type="dxa"/>
            <w:tcBorders>
              <w:top w:val="single" w:sz="6" w:space="0" w:color="000000"/>
              <w:start w:val="single" w:sz="6" w:space="0" w:color="000000"/>
              <w:end w:val="single" w:sz="4" w:space="0" w:color="000000"/>
            </w:tcBorders>
          </w:tcPr>
          <w:p>
            <w:pPr>
              <w:pStyle w:val="Normal"/>
              <w:spacing w:lineRule="auto" w:line="360"/>
              <w:rPr>
                <w:sz w:val="20"/>
              </w:rPr>
            </w:pPr>
            <w:r>
              <w:rPr>
                <w:sz w:val="20"/>
              </w:rPr>
              <w:t>Counterparty (ies):</w:t>
            </w:r>
          </w:p>
        </w:tc>
        <w:tc>
          <w:tcPr>
            <w:tcW w:w="6571" w:type="dxa"/>
            <w:gridSpan w:val="3"/>
            <w:tcBorders>
              <w:top w:val="single" w:sz="6" w:space="0" w:color="000000"/>
              <w:start w:val="single" w:sz="4" w:space="0" w:color="000000"/>
              <w:end w:val="single" w:sz="6" w:space="0" w:color="000000"/>
            </w:tcBorders>
          </w:tcPr>
          <w:p>
            <w:pPr>
              <w:pStyle w:val="Normal"/>
              <w:spacing w:lineRule="auto" w:line="360"/>
              <w:rPr>
                <w:sz w:val="20"/>
              </w:rPr>
            </w:pPr>
            <w:r>
              <w:rPr>
                <w:sz w:val="20"/>
              </w:rPr>
              <w:t>LEPTA SHIPPING CO. LIMITED</w:t>
            </w:r>
          </w:p>
        </w:tc>
      </w:tr>
      <w:tr>
        <w:trPr/>
        <w:tc>
          <w:tcPr>
            <w:tcW w:w="3330" w:type="dxa"/>
            <w:tcBorders>
              <w:top w:val="single" w:sz="6" w:space="0" w:color="000000"/>
              <w:start w:val="single" w:sz="6" w:space="0" w:color="000000"/>
              <w:end w:val="single" w:sz="4" w:space="0" w:color="000000"/>
            </w:tcBorders>
          </w:tcPr>
          <w:p>
            <w:pPr>
              <w:pStyle w:val="Normal"/>
              <w:spacing w:lineRule="auto" w:line="360"/>
              <w:rPr>
                <w:sz w:val="20"/>
              </w:rPr>
            </w:pPr>
            <w:r>
              <w:rPr>
                <w:sz w:val="20"/>
              </w:rPr>
              <w:t>Deal Maker:</w:t>
            </w:r>
          </w:p>
        </w:tc>
        <w:tc>
          <w:tcPr>
            <w:tcW w:w="6571" w:type="dxa"/>
            <w:gridSpan w:val="3"/>
            <w:tcBorders>
              <w:top w:val="single" w:sz="6" w:space="0" w:color="000000"/>
              <w:start w:val="single" w:sz="4" w:space="0" w:color="000000"/>
              <w:end w:val="single" w:sz="6" w:space="0" w:color="000000"/>
            </w:tcBorders>
          </w:tcPr>
          <w:p>
            <w:pPr>
              <w:pStyle w:val="Normal"/>
              <w:spacing w:lineRule="auto" w:line="360"/>
              <w:rPr>
                <w:sz w:val="20"/>
              </w:rPr>
            </w:pPr>
            <w:r>
              <w:rPr>
                <w:sz w:val="20"/>
              </w:rPr>
              <w:t>PIERRE AURY</w:t>
            </w:r>
          </w:p>
        </w:tc>
      </w:tr>
      <w:tr>
        <w:trPr>
          <w:trHeight w:val="435" w:hRule="atLeast"/>
        </w:trPr>
        <w:tc>
          <w:tcPr>
            <w:tcW w:w="3330" w:type="dxa"/>
            <w:tcBorders>
              <w:top w:val="single" w:sz="6" w:space="0" w:color="000000"/>
              <w:start w:val="single" w:sz="6" w:space="0" w:color="000000"/>
              <w:end w:val="single" w:sz="4" w:space="0" w:color="000000"/>
            </w:tcBorders>
          </w:tcPr>
          <w:p>
            <w:pPr>
              <w:pStyle w:val="Normal"/>
              <w:spacing w:lineRule="auto" w:line="360"/>
              <w:rPr>
                <w:sz w:val="20"/>
              </w:rPr>
            </w:pPr>
            <w:r>
              <w:rPr>
                <w:sz w:val="20"/>
              </w:rPr>
              <w:t>Date:</w:t>
            </w:r>
          </w:p>
        </w:tc>
        <w:tc>
          <w:tcPr>
            <w:tcW w:w="6571" w:type="dxa"/>
            <w:gridSpan w:val="3"/>
            <w:tcBorders>
              <w:top w:val="single" w:sz="6" w:space="0" w:color="000000"/>
              <w:start w:val="single" w:sz="4" w:space="0" w:color="000000"/>
              <w:end w:val="single" w:sz="6" w:space="0" w:color="000000"/>
            </w:tcBorders>
          </w:tcPr>
          <w:p>
            <w:pPr>
              <w:pStyle w:val="Normal"/>
              <w:spacing w:lineRule="auto" w:line="360"/>
              <w:rPr>
                <w:sz w:val="20"/>
              </w:rPr>
            </w:pPr>
            <w:r>
              <w:rPr>
                <w:sz w:val="20"/>
              </w:rPr>
              <w:t>SEPTEMBER 26, 2001</w:t>
            </w:r>
          </w:p>
        </w:tc>
      </w:tr>
      <w:tr>
        <w:trPr>
          <w:trHeight w:val="327" w:hRule="atLeast"/>
        </w:trPr>
        <w:tc>
          <w:tcPr>
            <w:tcW w:w="3330" w:type="dxa"/>
            <w:tcBorders>
              <w:top w:val="single" w:sz="6" w:space="0" w:color="000000"/>
              <w:start w:val="single" w:sz="6" w:space="0" w:color="000000"/>
              <w:end w:val="single" w:sz="4" w:space="0" w:color="000000"/>
            </w:tcBorders>
          </w:tcPr>
          <w:p>
            <w:pPr>
              <w:pStyle w:val="Normal"/>
              <w:rPr>
                <w:sz w:val="20"/>
              </w:rPr>
            </w:pPr>
            <w:r>
              <w:rPr>
                <w:sz w:val="20"/>
              </w:rPr>
              <w:t>Contract/Transaction Description (please attach final version or most</w:t>
            </w:r>
          </w:p>
          <w:p>
            <w:pPr>
              <w:pStyle w:val="Normal"/>
              <w:rPr>
                <w:sz w:val="20"/>
              </w:rPr>
            </w:pPr>
            <w:r>
              <w:rPr>
                <w:sz w:val="20"/>
              </w:rPr>
              <w:t>Recent draft of contract(s).  Also see note A4 below).</w:t>
            </w:r>
          </w:p>
        </w:tc>
        <w:tc>
          <w:tcPr>
            <w:tcW w:w="6571" w:type="dxa"/>
            <w:gridSpan w:val="3"/>
            <w:tcBorders>
              <w:top w:val="single" w:sz="6" w:space="0" w:color="000000"/>
              <w:start w:val="single" w:sz="4" w:space="0" w:color="000000"/>
              <w:end w:val="single" w:sz="6" w:space="0" w:color="000000"/>
            </w:tcBorders>
          </w:tcPr>
          <w:p>
            <w:pPr>
              <w:pStyle w:val="Normal"/>
              <w:spacing w:lineRule="auto" w:line="360"/>
              <w:rPr>
                <w:sz w:val="20"/>
              </w:rPr>
            </w:pPr>
            <w:r>
              <w:rPr>
                <w:sz w:val="20"/>
              </w:rPr>
              <w:t xml:space="preserve">7 year time Charter with  contingent options to extend for additional 3 years. There is NO option to purchase. </w:t>
            </w:r>
          </w:p>
        </w:tc>
      </w:tr>
      <w:tr>
        <w:trPr/>
        <w:tc>
          <w:tcPr>
            <w:tcW w:w="3330" w:type="dxa"/>
            <w:tcBorders>
              <w:top w:val="single" w:sz="4" w:space="0" w:color="000000"/>
              <w:start w:val="single" w:sz="4" w:space="0" w:color="000000"/>
              <w:bottom w:val="single" w:sz="4" w:space="0" w:color="000000"/>
              <w:end w:val="single" w:sz="4" w:space="0" w:color="000000"/>
            </w:tcBorders>
          </w:tcPr>
          <w:p>
            <w:pPr>
              <w:pStyle w:val="Heading2"/>
              <w:rPr/>
            </w:pPr>
            <w:r>
              <w:rPr/>
              <w:t>DISCIPLINE</w:t>
            </w:r>
          </w:p>
        </w:tc>
        <w:tc>
          <w:tcPr>
            <w:tcW w:w="2430" w:type="dxa"/>
            <w:tcBorders>
              <w:top w:val="single" w:sz="4" w:space="0" w:color="000000"/>
              <w:start w:val="single" w:sz="4" w:space="0" w:color="000000"/>
              <w:bottom w:val="single" w:sz="4" w:space="0" w:color="000000"/>
              <w:end w:val="single" w:sz="4" w:space="0" w:color="000000"/>
            </w:tcBorders>
          </w:tcPr>
          <w:p>
            <w:pPr>
              <w:pStyle w:val="Heading2"/>
              <w:rPr/>
            </w:pPr>
            <w:r>
              <w:rPr/>
              <w:t xml:space="preserve">         </w:t>
            </w:r>
            <w:r>
              <w:rPr/>
              <w:t>NAME</w:t>
            </w:r>
          </w:p>
        </w:tc>
        <w:tc>
          <w:tcPr>
            <w:tcW w:w="2070" w:type="dxa"/>
            <w:tcBorders>
              <w:top w:val="single" w:sz="4" w:space="0" w:color="000000"/>
              <w:start w:val="single" w:sz="4" w:space="0" w:color="000000"/>
              <w:bottom w:val="single" w:sz="4" w:space="0" w:color="000000"/>
              <w:end w:val="single" w:sz="4" w:space="0" w:color="000000"/>
            </w:tcBorders>
          </w:tcPr>
          <w:p>
            <w:pPr>
              <w:pStyle w:val="Heading2"/>
              <w:ind w:end="71"/>
              <w:rPr/>
            </w:pPr>
            <w:r>
              <w:rPr/>
              <w:t>SIGNATURE</w:t>
            </w:r>
          </w:p>
        </w:tc>
        <w:tc>
          <w:tcPr>
            <w:tcW w:w="2071" w:type="dxa"/>
            <w:tcBorders>
              <w:top w:val="single" w:sz="4" w:space="0" w:color="000000"/>
              <w:start w:val="single" w:sz="4" w:space="0" w:color="000000"/>
              <w:bottom w:val="single" w:sz="4" w:space="0" w:color="000000"/>
              <w:end w:val="single" w:sz="4" w:space="0" w:color="000000"/>
            </w:tcBorders>
          </w:tcPr>
          <w:p>
            <w:pPr>
              <w:pStyle w:val="Heading2"/>
              <w:tabs>
                <w:tab w:val="clear" w:pos="720"/>
                <w:tab w:val="left" w:pos="1495" w:leader="none"/>
              </w:tabs>
              <w:ind w:end="0"/>
              <w:rPr/>
            </w:pPr>
            <w:r>
              <w:rPr/>
              <w:t>DATE</w:t>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Deal Maker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Pierre Aury</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RAC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Ted Murphy/Olivier Herbelot</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Legal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Mark Evans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Tax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Rod Sayers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Financial Operations / Transaction Support (note B1)</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Melissa Allen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Office of the Chairman (note B2)</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Sherriff/Michael Brown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Enron Global Finance (note B3)</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 xml:space="preserve">Anne Edgley </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Structuring (note B4)</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Tani Nath</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Risk Management (note B4)</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Cindy Horne (Enron Global Markets)</w:t>
            </w:r>
          </w:p>
          <w:p>
            <w:pPr>
              <w:pStyle w:val="Normal"/>
              <w:spacing w:lineRule="auto" w:line="360"/>
              <w:ind w:end="-108"/>
              <w:rPr>
                <w:sz w:val="18"/>
              </w:rPr>
            </w:pPr>
            <w:r>
              <w:rPr>
                <w:sz w:val="18"/>
              </w:rPr>
              <w:t>James New (all other contracts)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Country Manager (note B5)</w:t>
            </w:r>
          </w:p>
        </w:tc>
        <w:tc>
          <w:tcPr>
            <w:tcW w:w="24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108"/>
              <w:rPr>
                <w:sz w:val="18"/>
              </w:rPr>
            </w:pPr>
            <w:r>
              <w:rPr>
                <w:sz w:val="18"/>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Information Technology (note B6)</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Mark Pickering</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Regional Support Co-ordination (note B7)</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Naomi Connell</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FSA Compliance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Jonathan Marsh</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Human Resources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Drew Lynch/Nigel Sellens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Engineering/Technical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Chappell</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Corporate Real Estate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John Robinson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r>
        <w:trPr/>
        <w:tc>
          <w:tcPr>
            <w:tcW w:w="33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Insurance (note B8)</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60"/>
              <w:ind w:end="-108"/>
              <w:rPr>
                <w:sz w:val="18"/>
              </w:rPr>
            </w:pPr>
            <w:r>
              <w:rPr>
                <w:sz w:val="18"/>
              </w:rPr>
              <w:t xml:space="preserve">Anne Edgley </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c>
          <w:tcPr>
            <w:tcW w:w="2071"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end="803"/>
              <w:rPr>
                <w:sz w:val="18"/>
              </w:rPr>
            </w:pPr>
            <w:r>
              <w:rPr>
                <w:sz w:val="18"/>
              </w:rPr>
            </w:r>
          </w:p>
        </w:tc>
      </w:tr>
    </w:tbl>
    <w:p>
      <w:pPr>
        <w:pStyle w:val="Normal"/>
        <w:spacing w:lineRule="auto" w:line="360"/>
        <w:ind w:start="-270" w:end="803"/>
        <w:rPr>
          <w:sz w:val="18"/>
        </w:rPr>
      </w:pPr>
      <w:r>
        <w:rPr>
          <w:sz w:val="18"/>
        </w:rPr>
      </w:r>
      <w:r>
        <w:br w:type="page"/>
      </w:r>
    </w:p>
    <w:p>
      <w:pPr>
        <w:pStyle w:val="Heading1"/>
        <w:ind w:hanging="0" w:start="0"/>
        <w:rPr>
          <w:sz w:val="24"/>
        </w:rPr>
      </w:pPr>
      <w:r>
        <w:rPr>
          <w:sz w:val="24"/>
        </w:rPr>
        <w:t>GUIDANCE NOTES</w:t>
      </w:r>
    </w:p>
    <w:p>
      <w:pPr>
        <w:pStyle w:val="Heading3"/>
        <w:ind w:hanging="0" w:start="0"/>
        <w:rPr>
          <w:sz w:val="20"/>
        </w:rPr>
      </w:pPr>
      <w:r>
        <w:rPr>
          <w:sz w:val="20"/>
        </w:rPr>
        <w:t>A. For the Dealmaker (PROCESS)</w:t>
      </w:r>
    </w:p>
    <w:p>
      <w:pPr>
        <w:pStyle w:val="Normal"/>
        <w:spacing w:before="0" w:after="240"/>
        <w:ind w:hanging="720" w:start="720" w:end="0"/>
        <w:jc w:val="both"/>
        <w:rPr/>
      </w:pPr>
      <w:r>
        <w:rPr>
          <w:sz w:val="20"/>
        </w:rPr>
        <w:t>1.</w:t>
        <w:tab/>
        <w:t xml:space="preserve">The relevant internal Enron lawyer will tell you at the beginning of the contract development process whether you will need CACS sign off on the contract and which disciplines will be required to sign off. Those disciplines should be kept copied in on drafts of the contract as it develops. </w:t>
      </w:r>
      <w:r>
        <w:rPr>
          <w:b/>
          <w:bCs/>
          <w:sz w:val="20"/>
        </w:rPr>
        <w:t>As the nature or terms of a contract change, so may the requirement or otherwise for a CACS and/or the required signatories for a CACS.</w:t>
      </w:r>
      <w:r>
        <w:rPr>
          <w:sz w:val="20"/>
        </w:rPr>
        <w:t xml:space="preserve">  </w:t>
      </w:r>
    </w:p>
    <w:p>
      <w:pPr>
        <w:pStyle w:val="Normal"/>
        <w:spacing w:before="0" w:after="240"/>
        <w:ind w:hanging="720" w:start="720" w:end="0"/>
        <w:jc w:val="both"/>
        <w:rPr>
          <w:sz w:val="20"/>
        </w:rPr>
      </w:pPr>
      <w:r>
        <w:rPr>
          <w:sz w:val="20"/>
        </w:rPr>
        <w:t>2.</w:t>
        <w:tab/>
        <w:t>It is the responsibility of your team to ensure that all signatures required on the CACS are duly obtained. The contract cannot be executed until the internal Enron lawyer is satisfied that that has occurred and he has initialled the contract.</w:t>
      </w:r>
    </w:p>
    <w:p>
      <w:pPr>
        <w:pStyle w:val="Normal"/>
        <w:spacing w:before="0" w:after="240"/>
        <w:ind w:hanging="720" w:start="720" w:end="0"/>
        <w:jc w:val="both"/>
        <w:rPr>
          <w:sz w:val="20"/>
        </w:rPr>
      </w:pPr>
      <w:r>
        <w:rPr>
          <w:sz w:val="20"/>
        </w:rPr>
        <w:t>3.</w:t>
        <w:tab/>
        <w:t>The CACS form should normally be signed by the head of the applicable department. Other arrangements, however, may be made with the approval of the department head.</w:t>
      </w:r>
    </w:p>
    <w:p>
      <w:pPr>
        <w:pStyle w:val="BodyTextIndent2"/>
        <w:rPr/>
      </w:pPr>
      <w:r>
        <w:rPr>
          <w:sz w:val="20"/>
        </w:rPr>
        <w:t>4.</w:t>
        <w:tab/>
      </w:r>
      <w:r>
        <w:rPr>
          <w:b/>
          <w:bCs/>
          <w:sz w:val="20"/>
        </w:rPr>
        <w:t>You should keep a copy of the signed CACS form in your file and send the original signed CACS form and the original signed copy of the contract(s) to the internal Enron lawyer who is handling the transaction.</w:t>
      </w:r>
    </w:p>
    <w:p>
      <w:pPr>
        <w:pStyle w:val="BodyTextIndent2"/>
        <w:rPr>
          <w:sz w:val="20"/>
        </w:rPr>
      </w:pPr>
      <w:r>
        <w:rPr>
          <w:sz w:val="20"/>
        </w:rPr>
        <w:t>5.</w:t>
        <w:tab/>
        <w:t>If a transaction involves an Enron commitment of US$500,000 or more or if a transaction is a material acquisition/disposal, then you should attach to the CACS form a short (1-3 page) description of the transaction setting out the economics of the transaction, the rationale for the transaction and any risks associated with the transaction.</w:t>
      </w:r>
    </w:p>
    <w:p>
      <w:pPr>
        <w:pStyle w:val="BodyTextIndent"/>
        <w:ind w:hanging="0" w:start="0" w:end="0"/>
        <w:rPr>
          <w:sz w:val="20"/>
          <w:u w:val="single"/>
        </w:rPr>
      </w:pPr>
      <w:r>
        <w:rPr>
          <w:sz w:val="20"/>
          <w:u w:val="single"/>
        </w:rPr>
        <w:t>B. For the Internal Enron Lawyer (WHO SIGNS)</w:t>
      </w:r>
    </w:p>
    <w:p>
      <w:pPr>
        <w:pStyle w:val="Normal"/>
        <w:spacing w:before="0" w:after="240"/>
        <w:ind w:hanging="720" w:start="720" w:end="0"/>
        <w:jc w:val="both"/>
        <w:rPr>
          <w:sz w:val="20"/>
        </w:rPr>
      </w:pPr>
      <w:r>
        <w:rPr>
          <w:sz w:val="20"/>
        </w:rPr>
        <w:t>1.</w:t>
        <w:tab/>
        <w:t>All contracts/transactions should be approved by the Deal Maker, Credit Risk Management, Legal, Tax and Financial Operations.</w:t>
      </w:r>
    </w:p>
    <w:p>
      <w:pPr>
        <w:pStyle w:val="Normal"/>
        <w:autoSpaceDE w:val="false"/>
        <w:ind w:hanging="720" w:start="720" w:end="0"/>
        <w:jc w:val="both"/>
        <w:rPr/>
      </w:pPr>
      <w:r>
        <w:rPr>
          <w:sz w:val="20"/>
        </w:rPr>
        <w:t>2.</w:t>
        <w:tab/>
      </w:r>
      <w:r>
        <w:rPr>
          <w:sz w:val="20"/>
          <w:szCs w:val="20"/>
        </w:rPr>
        <w:t xml:space="preserve">If a transaction involves an Enron commitment of US$500,000 or more, the CACS form must also be accompanied by a duly completed Non Dashed Capex Approval Form, in the form attached. </w:t>
      </w:r>
    </w:p>
    <w:p>
      <w:pPr>
        <w:pStyle w:val="Normal"/>
        <w:spacing w:before="0" w:after="240"/>
        <w:ind w:hanging="720" w:start="720" w:end="0"/>
        <w:jc w:val="both"/>
        <w:rPr>
          <w:sz w:val="20"/>
          <w:szCs w:val="20"/>
        </w:rPr>
      </w:pPr>
      <w:r>
        <w:rPr>
          <w:sz w:val="20"/>
          <w:szCs w:val="20"/>
        </w:rPr>
      </w:r>
    </w:p>
    <w:p>
      <w:pPr>
        <w:pStyle w:val="Normal"/>
        <w:spacing w:before="0" w:after="240"/>
        <w:ind w:hanging="720" w:start="720" w:end="0"/>
        <w:jc w:val="both"/>
        <w:rPr>
          <w:sz w:val="20"/>
        </w:rPr>
      </w:pPr>
      <w:r>
        <w:rPr>
          <w:sz w:val="20"/>
        </w:rPr>
        <w:t>3.</w:t>
        <w:tab/>
        <w:t>Underwriting and Enron Global Finance must sign the CACS form if the contract/transaction requires the commitment of Enron capital (including loans, equity contributions, acquisitions, commodity prepayments or Enron guarantees).  Neither Underwriting nor Enron Global Finance approval is required for trading transactions in the ordinary course of business, even if an Enron guarantee is involved.</w:t>
      </w:r>
    </w:p>
    <w:p>
      <w:pPr>
        <w:pStyle w:val="BodyTextIndent"/>
        <w:numPr>
          <w:ilvl w:val="0"/>
          <w:numId w:val="2"/>
        </w:numPr>
        <w:rPr>
          <w:sz w:val="20"/>
        </w:rPr>
      </w:pPr>
      <w:r>
        <w:rPr>
          <w:sz w:val="20"/>
        </w:rPr>
        <w:t>Structuring and Risk Management are required to approve ALL transactions that relate to Enron’s physical or financial commodity trading business, including transactions for the storage or transportation of a commodity and any other transaction that would affect the “books” maintained by Risk Management.</w:t>
      </w:r>
    </w:p>
    <w:p>
      <w:pPr>
        <w:pStyle w:val="BodyTextIndent"/>
        <w:numPr>
          <w:ilvl w:val="0"/>
          <w:numId w:val="2"/>
        </w:numPr>
        <w:rPr>
          <w:sz w:val="20"/>
        </w:rPr>
      </w:pPr>
      <w:r>
        <w:rPr>
          <w:sz w:val="20"/>
        </w:rPr>
        <w:t>The relevant Country Manager named below must approve all contracts directly impacting his country, whether such impact arises because a counterparty has its principal location in that country, or because some element of the contract falls to be performed in that country or for another other reason.</w:t>
      </w:r>
    </w:p>
    <w:p>
      <w:pPr>
        <w:pStyle w:val="BodyTextIndent"/>
        <w:ind w:hanging="0" w:end="0"/>
        <w:rPr>
          <w:sz w:val="20"/>
        </w:rPr>
      </w:pPr>
      <w:r>
        <w:rPr>
          <w:sz w:val="20"/>
        </w:rPr>
        <w:t>Current country managers are:</w:t>
      </w:r>
    </w:p>
    <w:p>
      <w:pPr>
        <w:pStyle w:val="BodyTextIndent"/>
        <w:spacing w:before="0" w:after="0"/>
        <w:ind w:hanging="2160" w:start="2880" w:end="0"/>
        <w:rPr>
          <w:sz w:val="20"/>
        </w:rPr>
      </w:pPr>
      <w:r>
        <w:rPr>
          <w:sz w:val="20"/>
        </w:rPr>
        <w:t>Eric Shaw:</w:t>
        <w:tab/>
        <w:t xml:space="preserve">Germany, Austria, Switzerland, France, Belgium, Central and Eastern Europe including Russia, the FSU, Poland, Turkey, Spain, Portugal, Italy, Netherlands. </w:t>
      </w:r>
    </w:p>
    <w:p>
      <w:pPr>
        <w:pStyle w:val="BodyTextIndent"/>
        <w:spacing w:before="0" w:after="0"/>
        <w:ind w:hanging="0" w:end="0"/>
        <w:rPr>
          <w:sz w:val="20"/>
        </w:rPr>
      </w:pPr>
      <w:r>
        <w:rPr>
          <w:sz w:val="20"/>
        </w:rPr>
        <w:t>Thor Lien:</w:t>
        <w:tab/>
        <w:tab/>
        <w:t>Scandinavia</w:t>
      </w:r>
    </w:p>
    <w:p>
      <w:pPr>
        <w:pStyle w:val="BodyTextIndent"/>
        <w:spacing w:before="0" w:after="0"/>
        <w:ind w:hanging="0" w:end="0"/>
        <w:rPr>
          <w:sz w:val="20"/>
        </w:rPr>
      </w:pPr>
      <w:r>
        <w:rPr>
          <w:sz w:val="20"/>
        </w:rPr>
      </w:r>
    </w:p>
    <w:p>
      <w:pPr>
        <w:pStyle w:val="BodyTextIndent"/>
        <w:numPr>
          <w:ilvl w:val="0"/>
          <w:numId w:val="2"/>
        </w:numPr>
        <w:rPr>
          <w:sz w:val="20"/>
        </w:rPr>
      </w:pPr>
      <w:r>
        <w:rPr>
          <w:sz w:val="20"/>
        </w:rPr>
        <w:t>Mark Pickering should sign off on any acquisition whether of assets or shares in respect of Information Technology issues.</w:t>
      </w:r>
    </w:p>
    <w:p>
      <w:pPr>
        <w:pStyle w:val="BodyTextIndent"/>
        <w:rPr>
          <w:sz w:val="20"/>
        </w:rPr>
      </w:pPr>
      <w:r>
        <w:rPr>
          <w:sz w:val="20"/>
        </w:rPr>
        <w:t>7.</w:t>
        <w:tab/>
        <w:t>Regional Support Co-ordination and Corporate Real Estate must sign off on all leases of new premises outside the UK.</w:t>
      </w:r>
    </w:p>
    <w:p>
      <w:pPr>
        <w:pStyle w:val="Normal"/>
        <w:spacing w:before="0" w:after="240"/>
        <w:ind w:hanging="720" w:start="720" w:end="0"/>
        <w:jc w:val="both"/>
        <w:rPr>
          <w:sz w:val="20"/>
        </w:rPr>
      </w:pPr>
      <w:r>
        <w:rPr>
          <w:sz w:val="20"/>
        </w:rPr>
        <w:t>8.</w:t>
        <w:tab/>
        <w:t>You must determine, on a case by case basis and if necessary in consultation with the General Counsel, whether the approval of any of FSA Compliance, Human Resources, Engineering/Technical, Asset Management, Information Technology and Insurance is required.</w:t>
        <w:tab/>
        <w:tab/>
        <w:tab/>
        <w:tab/>
        <w:t>_____________________</w:t>
      </w:r>
    </w:p>
    <w:p>
      <w:pPr>
        <w:pStyle w:val="Normal"/>
        <w:rPr>
          <w:sz w:val="20"/>
        </w:rPr>
      </w:pPr>
      <w:r>
        <w:rPr>
          <w:sz w:val="20"/>
        </w:rPr>
      </w:r>
    </w:p>
    <w:sectPr>
      <w:footerReference w:type="default" r:id="rId2"/>
      <w:type w:val="nextPage"/>
      <w:pgSz w:w="11906" w:h="16838"/>
      <w:pgMar w:left="1008" w:right="1008" w:gutter="0" w:header="0" w:top="72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S:/legal/CACS Form/CACS Form 31.7.01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360"/>
      <w:jc w:val="center"/>
      <w:outlineLvl w:val="0"/>
    </w:pPr>
    <w:rPr>
      <w:b/>
      <w:bCs/>
      <w:sz w:val="22"/>
      <w:szCs w:val="20"/>
      <w:u w:val="single"/>
      <w:lang w:val="en-GB"/>
    </w:rPr>
  </w:style>
  <w:style w:type="paragraph" w:styleId="Heading2">
    <w:name w:val="heading 2"/>
    <w:basedOn w:val="Normal"/>
    <w:next w:val="Normal"/>
    <w:qFormat/>
    <w:pPr>
      <w:keepNext w:val="true"/>
      <w:numPr>
        <w:ilvl w:val="1"/>
        <w:numId w:val="1"/>
      </w:numPr>
      <w:spacing w:lineRule="auto" w:line="360"/>
      <w:ind w:hanging="0" w:start="0" w:end="803"/>
      <w:jc w:val="center"/>
      <w:outlineLvl w:val="1"/>
    </w:pPr>
    <w:rPr>
      <w:b/>
      <w:bCs/>
      <w:sz w:val="18"/>
      <w:szCs w:val="20"/>
      <w:lang w:val="en-GB"/>
    </w:rPr>
  </w:style>
  <w:style w:type="paragraph" w:styleId="Heading3">
    <w:name w:val="heading 3"/>
    <w:basedOn w:val="Normal"/>
    <w:next w:val="Normal"/>
    <w:qFormat/>
    <w:pPr>
      <w:keepNext w:val="true"/>
      <w:numPr>
        <w:ilvl w:val="2"/>
        <w:numId w:val="1"/>
      </w:numPr>
      <w:spacing w:before="0" w:after="240"/>
      <w:jc w:val="both"/>
      <w:outlineLvl w:val="2"/>
    </w:pPr>
    <w:rPr>
      <w:sz w:val="22"/>
      <w:szCs w:val="20"/>
      <w:u w:val="single"/>
      <w:lang w:val="en-G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720"/>
        <w:tab w:val="left" w:pos="7380" w:leader="none"/>
      </w:tabs>
      <w:jc w:val="center"/>
    </w:pPr>
    <w:rPr>
      <w:b/>
      <w:sz w:val="18"/>
      <w:szCs w:val="20"/>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zCs w:val="20"/>
      <w:lang w:val="en-GB"/>
    </w:rPr>
  </w:style>
  <w:style w:type="paragraph" w:styleId="BodyTextIndent">
    <w:name w:val="Body Text Indent"/>
    <w:basedOn w:val="Normal"/>
    <w:pPr>
      <w:spacing w:before="0" w:after="240"/>
      <w:ind w:hanging="720" w:start="720" w:end="0"/>
      <w:jc w:val="both"/>
    </w:pPr>
    <w:rPr>
      <w:sz w:val="18"/>
      <w:szCs w:val="20"/>
      <w:lang w:val="en-GB"/>
    </w:rPr>
  </w:style>
  <w:style w:type="paragraph" w:styleId="BodyTextIndent2">
    <w:name w:val="Body Text Indent 2"/>
    <w:basedOn w:val="Normal"/>
    <w:qFormat/>
    <w:pPr>
      <w:spacing w:before="0" w:after="240"/>
      <w:ind w:hanging="720" w:start="720" w:end="0"/>
      <w:jc w:val="both"/>
    </w:pPr>
    <w:rPr>
      <w:sz w:val="22"/>
      <w:szCs w:val="20"/>
      <w:lang w:val="en-GB"/>
    </w:rPr>
  </w:style>
  <w:style w:type="paragraph" w:styleId="BodyTextIndent3">
    <w:name w:val="Body Text Indent 3"/>
    <w:basedOn w:val="Normal"/>
    <w:qFormat/>
    <w:pPr>
      <w:spacing w:before="0" w:after="240"/>
      <w:ind w:hanging="0" w:start="360" w:end="0"/>
      <w:jc w:val="both"/>
    </w:pPr>
    <w:rPr>
      <w:sz w:val="22"/>
      <w:szCs w:val="20"/>
      <w:lang w:val="en-GB"/>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2001-09-26T07:43:00Z</dcterms:created>
  <dc:creator>tfoy</dc:creator>
  <dc:description/>
  <dc:language>en-CA</dc:language>
  <cp:lastModifiedBy>ibrungs</cp:lastModifiedBy>
  <dcterms:modified xsi:type="dcterms:W3CDTF">2001-09-26T07:43:00Z</dcterms:modified>
  <cp:revision>2</cp:revision>
  <dc:subject/>
  <dc:title>(Last Revised: 31st July 2001)</dc:title>
</cp:coreProperties>
</file>