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
        <w:rPr>
          <w:b w:val="false"/>
          <w:sz w:val="24"/>
        </w:rPr>
      </w:pPr>
      <w:r>
        <w:rPr>
          <w:sz w:val="24"/>
        </w:rPr>
        <w:t>UNITED STATES OF AMERICA</w:t>
        <w:br/>
        <w:t>BEFORE THE</w:t>
        <w:br/>
        <w:t>FEDERAL ENERGY REGULATORY COMMISSION</w:t>
      </w:r>
    </w:p>
    <w:p>
      <w:pPr>
        <w:pStyle w:val="Address"/>
        <w:rPr>
          <w:b/>
        </w:rPr>
      </w:pPr>
      <w:r>
        <w:rPr/>
        <w:tab/>
        <w:tab/>
        <w:tab/>
        <w:tab/>
        <w:tab/>
        <w:tab/>
        <w:tab/>
      </w:r>
      <w:r>
        <w:rPr>
          <w:b/>
        </w:rPr>
        <w:t>)</w:t>
      </w:r>
      <w:r>
        <w:rPr/>
        <w:tab/>
        <w:tab/>
        <w:tab/>
        <w:tab/>
        <w:tab/>
      </w:r>
    </w:p>
    <w:p>
      <w:pPr>
        <w:pStyle w:val="Address"/>
        <w:rPr>
          <w:b/>
        </w:rPr>
      </w:pPr>
      <w:r>
        <w:rPr>
          <w:b/>
        </w:rPr>
        <w:t>New York Independent System Operator, Inc.</w:t>
        <w:tab/>
        <w:t>)</w:t>
        <w:tab/>
        <w:t>Docket No. ER01-181-000</w:t>
      </w:r>
    </w:p>
    <w:p>
      <w:pPr>
        <w:pStyle w:val="Address"/>
        <w:rPr>
          <w:b/>
        </w:rPr>
      </w:pPr>
      <w:r>
        <w:rPr>
          <w:b/>
        </w:rPr>
        <w:tab/>
        <w:tab/>
        <w:tab/>
        <w:tab/>
        <w:tab/>
        <w:tab/>
        <w:tab/>
        <w:t>)</w:t>
      </w:r>
    </w:p>
    <w:p>
      <w:pPr>
        <w:pStyle w:val="Address"/>
        <w:rPr>
          <w:b/>
        </w:rPr>
      </w:pPr>
      <w:r>
        <w:rPr>
          <w:b/>
        </w:rPr>
        <w:tab/>
        <w:tab/>
        <w:tab/>
        <w:tab/>
        <w:tab/>
        <w:tab/>
        <w:tab/>
        <w:t>)</w:t>
      </w:r>
    </w:p>
    <w:p>
      <w:pPr>
        <w:pStyle w:val="Address"/>
        <w:rPr>
          <w:b/>
        </w:rPr>
      </w:pPr>
      <w:r>
        <w:rPr>
          <w:b/>
        </w:rPr>
        <w:t>Mirant Americas Energy Marketing, L.P.,</w:t>
        <w:tab/>
        <w:t>)</w:t>
      </w:r>
    </w:p>
    <w:p>
      <w:pPr>
        <w:pStyle w:val="Normal"/>
        <w:spacing w:before="0" w:after="0"/>
        <w:rPr>
          <w:b/>
          <w:sz w:val="24"/>
        </w:rPr>
      </w:pPr>
      <w:r>
        <w:rPr>
          <w:b/>
          <w:sz w:val="24"/>
        </w:rPr>
        <w:t>Mirant New York, Inc.</w:t>
        <w:tab/>
        <w:tab/>
        <w:tab/>
        <w:tab/>
        <w:t>)</w:t>
      </w:r>
    </w:p>
    <w:p>
      <w:pPr>
        <w:pStyle w:val="Normal"/>
        <w:spacing w:before="0" w:after="0"/>
        <w:rPr>
          <w:b/>
          <w:sz w:val="24"/>
        </w:rPr>
      </w:pPr>
      <w:r>
        <w:rPr>
          <w:b/>
          <w:sz w:val="24"/>
        </w:rPr>
        <w:t>Mirant Bowline, LLC,</w:t>
        <w:tab/>
        <w:tab/>
        <w:tab/>
        <w:tab/>
        <w:t>)</w:t>
      </w:r>
    </w:p>
    <w:p>
      <w:pPr>
        <w:pStyle w:val="Normal"/>
        <w:spacing w:before="0" w:after="0"/>
        <w:rPr>
          <w:b/>
          <w:sz w:val="24"/>
        </w:rPr>
      </w:pPr>
      <w:r>
        <w:rPr>
          <w:b/>
          <w:sz w:val="24"/>
        </w:rPr>
        <w:t>Mirant Lovett, LLC, and</w:t>
        <w:tab/>
        <w:tab/>
        <w:tab/>
        <w:tab/>
        <w:t>)</w:t>
      </w:r>
    </w:p>
    <w:p>
      <w:pPr>
        <w:pStyle w:val="Normal"/>
        <w:spacing w:before="0" w:after="0"/>
        <w:rPr>
          <w:b/>
          <w:sz w:val="24"/>
        </w:rPr>
      </w:pPr>
      <w:r>
        <w:rPr>
          <w:b/>
          <w:sz w:val="24"/>
        </w:rPr>
        <w:t>Mirant NY-Gen, LLC</w:t>
        <w:tab/>
        <w:tab/>
        <w:tab/>
        <w:tab/>
        <w:t>)</w:t>
      </w:r>
    </w:p>
    <w:p>
      <w:pPr>
        <w:pStyle w:val="Normal"/>
        <w:spacing w:before="0" w:after="0"/>
        <w:rPr>
          <w:b/>
          <w:sz w:val="24"/>
        </w:rPr>
      </w:pPr>
      <w:r>
        <w:rPr>
          <w:b/>
          <w:sz w:val="24"/>
        </w:rPr>
        <w:tab/>
        <w:tab/>
        <w:tab/>
        <w:tab/>
        <w:tab/>
        <w:tab/>
        <w:tab/>
        <w:t>)</w:t>
      </w:r>
    </w:p>
    <w:p>
      <w:pPr>
        <w:pStyle w:val="Normal"/>
        <w:spacing w:before="0" w:after="0"/>
        <w:rPr>
          <w:b/>
          <w:sz w:val="24"/>
        </w:rPr>
      </w:pPr>
      <w:r>
        <w:rPr>
          <w:b/>
          <w:sz w:val="24"/>
        </w:rPr>
        <w:tab/>
        <w:tab/>
        <w:t>v.</w:t>
        <w:tab/>
        <w:tab/>
        <w:tab/>
        <w:tab/>
        <w:tab/>
        <w:t>)</w:t>
      </w:r>
    </w:p>
    <w:p>
      <w:pPr>
        <w:pStyle w:val="BodyTextContinued"/>
        <w:spacing w:lineRule="auto" w:line="240"/>
        <w:rPr>
          <w:b/>
        </w:rPr>
      </w:pPr>
      <w:r>
        <w:rPr>
          <w:b/>
        </w:rPr>
        <w:tab/>
        <w:tab/>
        <w:tab/>
        <w:tab/>
        <w:tab/>
        <w:tab/>
        <w:tab/>
        <w:t>)</w:t>
        <w:tab/>
        <w:t>Docket No. EL01-___-000</w:t>
      </w:r>
    </w:p>
    <w:p>
      <w:pPr>
        <w:pStyle w:val="Normal"/>
        <w:spacing w:before="0" w:after="0"/>
        <w:rPr>
          <w:b/>
          <w:sz w:val="24"/>
        </w:rPr>
      </w:pPr>
      <w:r>
        <w:rPr>
          <w:b/>
          <w:sz w:val="24"/>
        </w:rPr>
        <w:t>New York Independent System Operator, Inc.</w:t>
        <w:tab/>
        <w:t>)</w:t>
        <w:tab/>
        <w:tab/>
        <w:t xml:space="preserve">          </w:t>
      </w:r>
    </w:p>
    <w:p>
      <w:pPr>
        <w:pStyle w:val="Normal"/>
        <w:spacing w:before="0" w:after="480"/>
        <w:rPr>
          <w:b/>
          <w:sz w:val="24"/>
        </w:rPr>
      </w:pPr>
      <w:r>
        <w:rPr>
          <w:b/>
          <w:sz w:val="24"/>
        </w:rPr>
        <w:tab/>
        <w:tab/>
        <w:tab/>
        <w:tab/>
        <w:tab/>
        <w:tab/>
        <w:tab/>
        <w:t>)</w:t>
      </w:r>
    </w:p>
    <w:p>
      <w:pPr>
        <w:pStyle w:val="BodyText"/>
        <w:spacing w:lineRule="auto" w:line="240"/>
        <w:ind w:hanging="86" w:end="0"/>
        <w:jc w:val="center"/>
        <w:rPr>
          <w:b/>
        </w:rPr>
      </w:pPr>
      <w:r>
        <w:rPr>
          <w:b/>
        </w:rPr>
        <w:t>MOTION TO INTERVENE, ANSWER AND</w:t>
      </w:r>
    </w:p>
    <w:p>
      <w:pPr>
        <w:pStyle w:val="BodyText"/>
        <w:spacing w:lineRule="auto" w:line="240"/>
        <w:ind w:hanging="86" w:end="0"/>
        <w:jc w:val="center"/>
        <w:rPr>
          <w:b/>
          <w:u w:val="single"/>
        </w:rPr>
      </w:pPr>
      <w:r>
        <w:rPr>
          <w:b/>
          <w:u w:val="single"/>
        </w:rPr>
        <w:t>COMPLAINT REQUESTING FAST TRACK PROCEDURES</w:t>
      </w:r>
    </w:p>
    <w:p>
      <w:pPr>
        <w:pStyle w:val="BodyText"/>
        <w:spacing w:lineRule="auto" w:line="240"/>
        <w:ind w:hanging="86" w:end="0"/>
        <w:jc w:val="center"/>
        <w:rPr>
          <w:b/>
          <w:u w:val="single"/>
        </w:rPr>
      </w:pPr>
      <w:r>
        <w:rPr>
          <w:b/>
          <w:u w:val="single"/>
        </w:rPr>
      </w:r>
    </w:p>
    <w:p>
      <w:pPr>
        <w:pStyle w:val="BodyText"/>
        <w:rPr/>
      </w:pPr>
      <w:r>
        <w:rPr/>
        <w:t>Pursuant to Sections 206 and 306 of the Federal Power Act (“FPA”), 16 U.S.C. §§ 824e and 825e, and Rules 206 and 213 of the Federal Energy Regulatory Commission’s (“FERC” or the “Commission”) Rules of Practice and Procedure, 18 C.F.R. §§ 385.206 and 385.213 (2000), Mirant Americas Energy Marketing, L.P. ("MAEM"), Mirant New York, Inc. ("Mirant New York"), Mirant Bowline, LLC ("Mirant Bowline"), Mirant Lovett, LLC ("Mirant Lovett") and Mirant NY-Gen, LLC ("Mirant NY-Gen") (collectively, the "Mirant Companies") respectfully submit (i) this Motion to Intervene and Answer to the Notice of Withdrawal (the "Notice Filing") filed by the New York Independent System Operator, Inc. (the "NYISO") on March 9, 2001 in FERC Docket No. ER01-181-000;</w:t>
      </w:r>
      <w:r>
        <w:rPr>
          <w:rStyle w:val="FootnoteCharacters"/>
          <w:rStyle w:val="FootnoteReference"/>
        </w:rPr>
        <w:footnoteReference w:id="2"/>
      </w:r>
      <w:r>
        <w:rPr/>
        <w:t xml:space="preserve"> and (ii) this Complaint against the NYISO in connection with the NYISO's proposed revised procedures for the mitigation of energy suppliers that may, or may not, be about to exercise market power (referred to herein as the "Modified Mitigation Procedures").  The Mirant Companies request that the Commission issue an order determining that (i) because the Modified Mitigation Procedures reflect substantive and material changes to the NYISO's FERC-filed Market Monitoring Plan (the "MMP") that relate to rates, terms and conditions of service under the NYISO's FERC-filed Market Administration and Control Area Services Tariff (the "Services Tariff"), these changes cannot be effective absent a filing by the NYISO pursuant to Section 205 or 206 of the FPA; and (ii) the NYISO's attempt to implement the Modified Mitigation Procedures without making a Section 205 or 206 filing is in violation of the provisions of the MMP, the Services Tariff and Commission precedent, and is therefore invalid and without legal effect.  </w:t>
      </w:r>
    </w:p>
    <w:p>
      <w:pPr>
        <w:pStyle w:val="BodyText"/>
        <w:rPr/>
      </w:pPr>
      <w:r>
        <w:rPr/>
        <w:t>It is the Mirant Companies' understanding that the NYISO intends to implement the Modified Mitigation Procedures in May 2001, so that they can be in effect by the Summer Capability Period.  Given that implementation of the Modified Mitigation Procedures substantively and materially alters the MMP in violation of FERC-filed rate schedules, the Mirant Companies request Fast Track procedures pursuant to Section 385.206(h) of the Commission's regulations, 18 C.F.R. § 385.206(h), to resolve this matter expeditiously.</w:t>
      </w:r>
    </w:p>
    <w:p>
      <w:pPr>
        <w:pStyle w:val="Heading1"/>
        <w:ind w:hanging="0" w:start="0"/>
        <w:rPr/>
      </w:pPr>
      <w:r>
        <w:rPr/>
        <w:t>summary of answer and complaint</w:t>
      </w:r>
    </w:p>
    <w:p>
      <w:pPr>
        <w:pStyle w:val="BodyText"/>
        <w:rPr/>
      </w:pPr>
      <w:r>
        <w:rPr/>
        <w:t>On October 20, 2000, as amended on October 24, 2000, the NYISO filed, pursuant to Section 206 of the FPA, a proposal to extend the duration of the currently effective bid caps in certain NYISO-administered markets from May 1, 2001 until such time as the NYISO is able to successfully develop, test and implement a "superior market protective mechanism" (the "October Filing").</w:t>
      </w:r>
      <w:r>
        <w:rPr>
          <w:rStyle w:val="FootnoteCharacters"/>
          <w:rStyle w:val="FootnoteReference"/>
        </w:rPr>
        <w:footnoteReference w:id="3"/>
      </w:r>
      <w:r>
        <w:rPr/>
        <w:t xml:space="preserve">  The October Filing noted that a potential "superior market protective mechanism" that would eliminate the need for bid caps could include a mechanism, similar to that currently proposed by the NYISO in the Modified Mitigation Procedures, that would mitigate suppliers when the NYISO determines that markets are not workably competitive.</w:t>
      </w:r>
      <w:r>
        <w:rPr>
          <w:rStyle w:val="FootnoteCharacters"/>
          <w:rStyle w:val="FootnoteReference"/>
        </w:rPr>
        <w:footnoteReference w:id="4"/>
      </w:r>
      <w:r>
        <w:rPr/>
        <w:t xml:space="preserve">    </w:t>
      </w:r>
    </w:p>
    <w:p>
      <w:pPr>
        <w:pStyle w:val="BodyText"/>
        <w:rPr/>
      </w:pPr>
      <w:r>
        <w:rPr/>
        <w:t>The NYISO's current MMP establishes the procedures by which the NYISO's Market Monitoring Unit (the "MMU"), in consultation with the NYISO's Market Advisor (the "Market Advisor"), monitors the markets administered by the NYISO and mitigates a Market Party's</w:t>
      </w:r>
      <w:r>
        <w:rPr>
          <w:rStyle w:val="FootnoteCharacters"/>
          <w:rStyle w:val="FootnoteReference"/>
        </w:rPr>
        <w:footnoteReference w:id="5"/>
      </w:r>
      <w:r>
        <w:rPr/>
        <w:t xml:space="preserve"> conduct when the NYISO determines that the conduct is exercised from a position of market power.  As described in Section VI below, the MMP specifically provides that the NYISO's market mitigation measures will become effective only upon the Commission's approval, which must be sought in the same manner as approvals for proposed amendments to the Services Tariff.  The NYISO Agreement, which establishes the sole procedure for amending the Services Tariff, unambiguously requires the NYISO to file any material changes to the MMP's existing market mitigation measures pursuant to either (i) Section 205 of the FPA, but only after submitting the proposed changes to the NYISO Management Committee (the "Management Committee") and the NYISO Board of Directors (the "Board"),</w:t>
      </w:r>
      <w:r>
        <w:rPr>
          <w:rStyle w:val="FootnoteCharacters"/>
          <w:rStyle w:val="FootnoteReference"/>
        </w:rPr>
        <w:footnoteReference w:id="6"/>
      </w:r>
      <w:r>
        <w:rPr/>
        <w:t xml:space="preserve"> or (ii) Section 206 of the FPA.  </w:t>
      </w:r>
    </w:p>
    <w:p>
      <w:pPr>
        <w:pStyle w:val="BodyText"/>
        <w:rPr/>
      </w:pPr>
      <w:r>
        <w:rPr/>
        <w:t>In Initial Comments filed on February 8, 2001 in response to Commission Staff's request at a technical conference on the overall state of the NYISO's markets, the NYISO stated that it intends to implement the Modified Mitigation Procedures using its existing authority under the MMP.</w:t>
      </w:r>
      <w:r>
        <w:rPr>
          <w:rStyle w:val="FootnoteCharacters"/>
          <w:rStyle w:val="FootnoteReference"/>
        </w:rPr>
        <w:footnoteReference w:id="7"/>
      </w:r>
      <w:r>
        <w:rPr/>
        <w:t xml:space="preserve">  The NYISO therefore does not intend to file the Modified Mitigation Procedures with the Commission pursuant to either Section 205 or 206 of the FPA, as required by the provisions of the MMP, the Services Tariff and the NYISO Agreement.</w:t>
      </w:r>
    </w:p>
    <w:p>
      <w:pPr>
        <w:pStyle w:val="BodyText"/>
        <w:rPr/>
      </w:pPr>
      <w:r>
        <w:rPr/>
        <w:t>On March 9, 2001, the NYISO submitted the Notice Filing</w:t>
      </w:r>
      <w:r>
        <w:rPr>
          <w:rStyle w:val="FootnoteCharacters"/>
          <w:rStyle w:val="FootnoteReference"/>
        </w:rPr>
        <w:footnoteReference w:id="8"/>
      </w:r>
      <w:r>
        <w:rPr/>
        <w:t xml:space="preserve"> in which it requested permission to withdraw the October Filing.  The NYISO stated that it was seeking to withdraw the October Filing in part because it is implementing the Modified Mitigation Procedures to permit it "to identify and mitigate suspect bidding conduct during the course of its Day-Ahead unit commitment process for the next day's energy market."</w:t>
      </w:r>
      <w:r>
        <w:rPr>
          <w:rStyle w:val="FootnoteCharacters"/>
          <w:rStyle w:val="FootnoteReference"/>
        </w:rPr>
        <w:footnoteReference w:id="9"/>
      </w:r>
      <w:r>
        <w:rPr/>
        <w:t xml:space="preserve">  The NYISO concluded that the Modified Mitigation Procedures will obviate the need for the "superior market protective device" as referenced in the October Filing.</w:t>
      </w:r>
    </w:p>
    <w:p>
      <w:pPr>
        <w:pStyle w:val="BodyText"/>
        <w:rPr/>
      </w:pPr>
      <w:r>
        <w:rPr/>
        <w:t>The Notice Filing and the Initial Comments make clear that the NYISO intends to implement the Modified Mitigation Procedures without filing any changes to the MMP's current market mitigation procedures pursuant to either Section 205 or 206 of the FPA, and without seeking approval for the Modified Mitigation Procedures from the Management Committee.  The NYISO offered a selective picture to the Commission when it stated in the Notice Filing that the Modified Mitigation Procedures merely "automate" the existing mitigation measures under the NYISO's MMP and therefore the Modified Mitigation Procedures can be implemented under the NYISO's "existing tariff authority."</w:t>
      </w:r>
      <w:r>
        <w:rPr>
          <w:rStyle w:val="FootnoteCharacters"/>
          <w:rStyle w:val="FootnoteReference"/>
        </w:rPr>
        <w:footnoteReference w:id="10"/>
      </w:r>
    </w:p>
    <w:p>
      <w:pPr>
        <w:pStyle w:val="BodyText"/>
        <w:rPr/>
      </w:pPr>
      <w:r>
        <w:rPr/>
        <w:t>In truth, however, as described herein, the Modified Mitigation Procedures reflect a number of material and substantive changes to the NYISO's FERC-filed MMP that relate to rates, terms and conditions of service under the Services Tariff.  As such, the provisions of the MMP, the Services Tariff and Commission precedent require that the NYISO file these changes with the Commission pursuant to either Section 205 or 206 of the FPA.  In the absence of a Section 205 or 206 filing and review and acceptance by the Commission, the Modified Mitigation Procedures are invalid and without legal effect.</w:t>
      </w:r>
    </w:p>
    <w:p>
      <w:pPr>
        <w:pStyle w:val="Heading1"/>
        <w:ind w:hanging="0" w:start="0"/>
        <w:rPr/>
      </w:pPr>
      <w:r>
        <w:rPr/>
        <w:t xml:space="preserve">motion to intervene </w:t>
      </w:r>
    </w:p>
    <w:p>
      <w:pPr>
        <w:pStyle w:val="BodyText"/>
        <w:rPr/>
      </w:pPr>
      <w:r>
        <w:rPr/>
        <w:t>On November 6, 2000, Mirant Bowline, Mirant Lovett and Mirant NY-Gen filed a motion to intervene in Docket No. ER01-181-000.  Because MAEM and Mirant New York are not parties to Docket No. ER01-181-000, MAEM and Mirant New York hereby file, pursuant to Rule 214(d) of the Commission's Rules of Practice and Procedure, 18 C.F.R. § 385.214(d), a motion for leave to intervene out-of-time.  Given that, as described below, the Notice Filing is the first filing in which the NYISO has described its proposed Modified Mitigation Procedures, good cause exists for MAEM's and Mirant New York's intervention at this late date.  Moreover, this late intervention will not result in additional burdens to other parties or disrupt the proceeding, and MAEM's and Mirant New York's interests are not adequately represented by any other party to the proceeding.</w:t>
      </w:r>
    </w:p>
    <w:p>
      <w:pPr>
        <w:pStyle w:val="Heading1"/>
        <w:ind w:hanging="0" w:start="0"/>
        <w:rPr/>
      </w:pPr>
      <w:r>
        <w:rPr/>
        <w:t>Communications</w:t>
      </w:r>
    </w:p>
    <w:p>
      <w:pPr>
        <w:pStyle w:val="BodyText"/>
        <w:rPr/>
      </w:pPr>
      <w:r>
        <w:rPr/>
        <w:t>The Mirant Companies hereby designate the following persons for service and requests that the Commission place the following persons on the official service list in this proceeding:</w:t>
      </w:r>
    </w:p>
    <w:tbl>
      <w:tblPr>
        <w:tblW w:w="10080" w:type="dxa"/>
        <w:jc w:val="start"/>
        <w:tblInd w:w="0" w:type="dxa"/>
        <w:tblLayout w:type="fixed"/>
        <w:tblCellMar>
          <w:top w:w="0" w:type="dxa"/>
          <w:start w:w="108" w:type="dxa"/>
          <w:bottom w:w="0" w:type="dxa"/>
          <w:end w:w="108" w:type="dxa"/>
        </w:tblCellMar>
      </w:tblPr>
      <w:tblGrid>
        <w:gridCol w:w="5688"/>
        <w:gridCol w:w="4392"/>
      </w:tblGrid>
      <w:tr>
        <w:trPr>
          <w:trHeight w:val="1440" w:hRule="atLeast"/>
        </w:trPr>
        <w:tc>
          <w:tcPr>
            <w:tcW w:w="5688" w:type="dxa"/>
            <w:tcBorders/>
          </w:tcPr>
          <w:p>
            <w:pPr>
              <w:pStyle w:val="Normal"/>
              <w:spacing w:before="0" w:after="0"/>
              <w:ind w:start="1440" w:end="0"/>
              <w:rPr>
                <w:sz w:val="24"/>
              </w:rPr>
            </w:pPr>
            <w:r>
              <w:rPr>
                <w:sz w:val="24"/>
              </w:rPr>
              <w:t>Hal Chappelle*</w:t>
            </w:r>
          </w:p>
          <w:p>
            <w:pPr>
              <w:pStyle w:val="Normal"/>
              <w:spacing w:before="0" w:after="0"/>
              <w:ind w:start="1440" w:end="0"/>
              <w:rPr>
                <w:sz w:val="24"/>
              </w:rPr>
            </w:pPr>
            <w:r>
              <w:rPr>
                <w:sz w:val="24"/>
              </w:rPr>
              <w:t>Vice President</w:t>
            </w:r>
          </w:p>
          <w:p>
            <w:pPr>
              <w:pStyle w:val="Normal"/>
              <w:spacing w:before="0" w:after="0"/>
              <w:ind w:start="1440" w:end="0"/>
              <w:rPr>
                <w:sz w:val="24"/>
              </w:rPr>
            </w:pPr>
            <w:r>
              <w:rPr>
                <w:sz w:val="24"/>
              </w:rPr>
              <w:t>Mirant Americas, Inc.</w:t>
            </w:r>
          </w:p>
          <w:p>
            <w:pPr>
              <w:pStyle w:val="Normal"/>
              <w:spacing w:before="0" w:after="0"/>
              <w:ind w:start="1440" w:end="0"/>
              <w:rPr>
                <w:sz w:val="24"/>
              </w:rPr>
            </w:pPr>
            <w:r>
              <w:rPr>
                <w:sz w:val="24"/>
              </w:rPr>
              <w:t>1155 Perimeter Center West</w:t>
            </w:r>
          </w:p>
          <w:p>
            <w:pPr>
              <w:pStyle w:val="Normal"/>
              <w:spacing w:before="0" w:after="0"/>
              <w:ind w:start="1440" w:end="0"/>
              <w:rPr>
                <w:sz w:val="24"/>
              </w:rPr>
            </w:pPr>
            <w:r>
              <w:rPr>
                <w:sz w:val="24"/>
              </w:rPr>
              <w:t>Suite 130</w:t>
            </w:r>
          </w:p>
          <w:p>
            <w:pPr>
              <w:pStyle w:val="Normal"/>
              <w:spacing w:before="0" w:after="0"/>
              <w:ind w:start="1440" w:end="0"/>
              <w:rPr>
                <w:sz w:val="24"/>
              </w:rPr>
            </w:pPr>
            <w:r>
              <w:rPr>
                <w:sz w:val="24"/>
              </w:rPr>
              <w:t>Atlanta, GA 30338-5416</w:t>
            </w:r>
          </w:p>
          <w:p>
            <w:pPr>
              <w:pStyle w:val="Normal"/>
              <w:spacing w:before="0" w:after="0"/>
              <w:ind w:start="1440" w:end="0"/>
              <w:rPr>
                <w:sz w:val="24"/>
                <w:u w:val="single"/>
                <w:lang w:eastAsia="en-US"/>
              </w:rPr>
            </w:pPr>
            <w:r>
              <w:rPr>
                <w:sz w:val="24"/>
              </w:rPr>
              <w:t xml:space="preserve">Tel: </w:t>
            </w:r>
            <w:r>
              <w:rPr>
                <w:sz w:val="24"/>
                <w:lang w:eastAsia="en-US"/>
              </w:rPr>
              <w:t>(678) 579-3079</w:t>
            </w:r>
          </w:p>
          <w:p>
            <w:pPr>
              <w:pStyle w:val="Normal"/>
              <w:spacing w:before="0" w:after="0"/>
              <w:ind w:start="1440" w:end="0"/>
              <w:rPr>
                <w:sz w:val="24"/>
              </w:rPr>
            </w:pPr>
            <w:r>
              <w:rPr>
                <w:sz w:val="24"/>
                <w:lang w:eastAsia="en-US"/>
              </w:rPr>
              <w:t>Fax: (678) 579-5873</w:t>
            </w:r>
          </w:p>
          <w:p>
            <w:pPr>
              <w:pStyle w:val="Normal"/>
              <w:spacing w:before="0" w:after="0"/>
              <w:ind w:start="1440" w:end="0"/>
              <w:rPr>
                <w:sz w:val="24"/>
              </w:rPr>
            </w:pPr>
            <w:r>
              <w:rPr>
                <w:sz w:val="24"/>
              </w:rPr>
            </w:r>
          </w:p>
          <w:p>
            <w:pPr>
              <w:pStyle w:val="Normal"/>
              <w:spacing w:before="0" w:after="0"/>
              <w:ind w:start="1440" w:end="0"/>
              <w:rPr>
                <w:sz w:val="24"/>
              </w:rPr>
            </w:pPr>
            <w:r>
              <w:rPr>
                <w:sz w:val="24"/>
              </w:rPr>
              <w:t>Joseph Holtman*</w:t>
            </w:r>
          </w:p>
          <w:p>
            <w:pPr>
              <w:pStyle w:val="BodyTextIndent2"/>
              <w:ind w:hanging="630" w:start="2070" w:end="0"/>
              <w:rPr/>
            </w:pPr>
            <w:r>
              <w:rPr/>
              <w:t>Mirant New York, Inc.</w:t>
            </w:r>
          </w:p>
          <w:p>
            <w:pPr>
              <w:pStyle w:val="BodyTextIndent2"/>
              <w:ind w:hanging="630" w:start="2070" w:end="0"/>
              <w:rPr/>
            </w:pPr>
            <w:r>
              <w:rPr/>
              <w:t xml:space="preserve">Director of Regulatory Affairs </w:t>
            </w:r>
          </w:p>
          <w:p>
            <w:pPr>
              <w:pStyle w:val="BodyTextIndent2"/>
              <w:ind w:hanging="630" w:start="2070" w:end="0"/>
              <w:rPr/>
            </w:pPr>
            <w:r>
              <w:rPr/>
              <w:t>400 Rella Boulevard</w:t>
            </w:r>
          </w:p>
          <w:p>
            <w:pPr>
              <w:pStyle w:val="BodyTextIndent2"/>
              <w:ind w:hanging="630" w:start="2070" w:end="0"/>
              <w:rPr/>
            </w:pPr>
            <w:r>
              <w:rPr/>
              <w:t>Suite 157</w:t>
            </w:r>
          </w:p>
          <w:p>
            <w:pPr>
              <w:pStyle w:val="Normal"/>
              <w:spacing w:before="0" w:after="0"/>
              <w:ind w:start="1440" w:end="0"/>
              <w:rPr>
                <w:sz w:val="24"/>
              </w:rPr>
            </w:pPr>
            <w:r>
              <w:rPr>
                <w:sz w:val="24"/>
              </w:rPr>
              <w:t>Suffern, NY 10901</w:t>
            </w:r>
          </w:p>
          <w:p>
            <w:pPr>
              <w:pStyle w:val="Normal"/>
              <w:spacing w:before="0" w:after="0"/>
              <w:ind w:start="1440" w:end="0"/>
              <w:rPr>
                <w:sz w:val="24"/>
              </w:rPr>
            </w:pPr>
            <w:r>
              <w:rPr>
                <w:sz w:val="24"/>
              </w:rPr>
              <w:t xml:space="preserve">Tel:  </w:t>
            </w:r>
            <w:r>
              <w:rPr>
                <w:sz w:val="24"/>
                <w:lang w:eastAsia="en-US"/>
              </w:rPr>
              <w:t>(845) 357-5266</w:t>
            </w:r>
          </w:p>
          <w:p>
            <w:pPr>
              <w:pStyle w:val="Normal"/>
              <w:spacing w:before="0" w:after="0"/>
              <w:ind w:start="1440" w:end="0"/>
              <w:rPr>
                <w:sz w:val="24"/>
              </w:rPr>
            </w:pPr>
            <w:r>
              <w:rPr>
                <w:sz w:val="24"/>
              </w:rPr>
              <w:t xml:space="preserve">Fax: </w:t>
            </w:r>
            <w:r>
              <w:rPr>
                <w:sz w:val="24"/>
                <w:lang w:eastAsia="en-US"/>
              </w:rPr>
              <w:t>(845) 357-7769</w:t>
            </w:r>
          </w:p>
          <w:p>
            <w:pPr>
              <w:pStyle w:val="Normal"/>
              <w:spacing w:before="0" w:after="0"/>
              <w:ind w:start="1440" w:end="0"/>
              <w:rPr>
                <w:sz w:val="24"/>
              </w:rPr>
            </w:pPr>
            <w:r>
              <w:rPr>
                <w:sz w:val="24"/>
              </w:rPr>
            </w:r>
          </w:p>
          <w:p>
            <w:pPr>
              <w:pStyle w:val="Normal"/>
              <w:spacing w:before="0" w:after="240"/>
              <w:ind w:start="1440" w:end="0"/>
              <w:rPr>
                <w:sz w:val="20"/>
              </w:rPr>
            </w:pPr>
            <w:r>
              <w:rPr>
                <w:sz w:val="20"/>
              </w:rPr>
              <w:t>*Designated for Service</w:t>
            </w:r>
          </w:p>
        </w:tc>
        <w:tc>
          <w:tcPr>
            <w:tcW w:w="4392" w:type="dxa"/>
            <w:tcBorders/>
          </w:tcPr>
          <w:p>
            <w:pPr>
              <w:pStyle w:val="Normal"/>
              <w:spacing w:before="0" w:after="0"/>
              <w:rPr>
                <w:sz w:val="24"/>
              </w:rPr>
            </w:pPr>
            <w:r>
              <w:rPr>
                <w:sz w:val="24"/>
              </w:rPr>
              <w:t>David L. Schwartz</w:t>
            </w:r>
          </w:p>
          <w:p>
            <w:pPr>
              <w:pStyle w:val="Normal"/>
              <w:spacing w:before="0" w:after="0"/>
              <w:rPr>
                <w:sz w:val="24"/>
              </w:rPr>
            </w:pPr>
            <w:r>
              <w:rPr>
                <w:sz w:val="24"/>
              </w:rPr>
              <w:t>Michael J. Gergen</w:t>
            </w:r>
          </w:p>
          <w:p>
            <w:pPr>
              <w:pStyle w:val="Normal"/>
              <w:spacing w:before="0" w:after="0"/>
              <w:rPr>
                <w:sz w:val="24"/>
              </w:rPr>
            </w:pPr>
            <w:r>
              <w:rPr>
                <w:sz w:val="24"/>
              </w:rPr>
              <w:t>George D. Cannon, Jr.*</w:t>
            </w:r>
          </w:p>
          <w:p>
            <w:pPr>
              <w:pStyle w:val="Normal"/>
              <w:spacing w:before="0" w:after="0"/>
              <w:rPr>
                <w:sz w:val="24"/>
              </w:rPr>
            </w:pPr>
            <w:r>
              <w:rPr>
                <w:sz w:val="24"/>
              </w:rPr>
              <w:t>Latham &amp; Watkins</w:t>
            </w:r>
          </w:p>
          <w:p>
            <w:pPr>
              <w:pStyle w:val="Normal"/>
              <w:spacing w:before="0" w:after="0"/>
              <w:rPr>
                <w:sz w:val="24"/>
              </w:rPr>
            </w:pPr>
            <w:r>
              <w:rPr>
                <w:sz w:val="24"/>
              </w:rPr>
              <w:t>555 Eleventh Street, N.W.</w:t>
            </w:r>
          </w:p>
          <w:p>
            <w:pPr>
              <w:pStyle w:val="Normal"/>
              <w:spacing w:before="0" w:after="0"/>
              <w:rPr>
                <w:sz w:val="24"/>
              </w:rPr>
            </w:pPr>
            <w:r>
              <w:rPr>
                <w:sz w:val="24"/>
              </w:rPr>
              <w:t>Suite 1000</w:t>
            </w:r>
          </w:p>
          <w:p>
            <w:pPr>
              <w:pStyle w:val="Normal"/>
              <w:spacing w:before="0" w:after="0"/>
              <w:rPr>
                <w:sz w:val="24"/>
              </w:rPr>
            </w:pPr>
            <w:r>
              <w:rPr>
                <w:sz w:val="24"/>
              </w:rPr>
              <w:t>Washington, D.C. 20004</w:t>
            </w:r>
          </w:p>
          <w:p>
            <w:pPr>
              <w:pStyle w:val="Normal"/>
              <w:spacing w:before="0" w:after="0"/>
              <w:rPr>
                <w:sz w:val="24"/>
              </w:rPr>
            </w:pPr>
            <w:r>
              <w:rPr>
                <w:sz w:val="24"/>
              </w:rPr>
              <w:t>Tel:  (202) 637-2200</w:t>
            </w:r>
          </w:p>
          <w:p>
            <w:pPr>
              <w:pStyle w:val="Normal"/>
              <w:spacing w:before="0" w:after="0"/>
              <w:rPr>
                <w:sz w:val="24"/>
              </w:rPr>
            </w:pPr>
            <w:r>
              <w:rPr>
                <w:sz w:val="24"/>
              </w:rPr>
              <w:t>Fax:  (202) 637-2201</w:t>
            </w:r>
          </w:p>
          <w:p>
            <w:pPr>
              <w:pStyle w:val="Normal"/>
              <w:spacing w:before="0" w:after="240"/>
              <w:rPr>
                <w:sz w:val="24"/>
              </w:rPr>
            </w:pPr>
            <w:r>
              <w:rPr>
                <w:sz w:val="24"/>
              </w:rPr>
            </w:r>
          </w:p>
        </w:tc>
      </w:tr>
      <w:tr>
        <w:trPr>
          <w:trHeight w:val="180" w:hRule="atLeast"/>
        </w:trPr>
        <w:tc>
          <w:tcPr>
            <w:tcW w:w="5688" w:type="dxa"/>
            <w:tcBorders/>
          </w:tcPr>
          <w:p>
            <w:pPr>
              <w:pStyle w:val="Normal"/>
              <w:snapToGrid w:val="false"/>
              <w:spacing w:before="0" w:after="0"/>
              <w:rPr>
                <w:lang w:eastAsia="en-US"/>
              </w:rPr>
            </w:pPr>
            <w:r>
              <w:rPr>
                <w:lang w:eastAsia="en-US"/>
              </w:rPr>
            </w:r>
          </w:p>
        </w:tc>
        <w:tc>
          <w:tcPr>
            <w:tcW w:w="4392" w:type="dxa"/>
            <w:tcBorders/>
          </w:tcPr>
          <w:p>
            <w:pPr>
              <w:pStyle w:val="Normal"/>
              <w:snapToGrid w:val="false"/>
              <w:spacing w:before="0" w:after="0"/>
              <w:rPr>
                <w:lang w:eastAsia="en-US"/>
              </w:rPr>
            </w:pPr>
            <w:r>
              <w:rPr>
                <w:lang w:eastAsia="en-US"/>
              </w:rPr>
            </w:r>
          </w:p>
        </w:tc>
      </w:tr>
    </w:tbl>
    <w:p>
      <w:pPr>
        <w:pStyle w:val="Heading1"/>
        <w:keepNext w:val="false"/>
        <w:keepLines w:val="false"/>
        <w:numPr>
          <w:ilvl w:val="0"/>
          <w:numId w:val="0"/>
        </w:numPr>
        <w:spacing w:before="0" w:after="120"/>
        <w:ind w:hanging="0" w:start="0"/>
        <w:rPr/>
      </w:pPr>
      <w:r>
        <w:rPr/>
      </w:r>
      <w:r>
        <w:br w:type="page"/>
      </w:r>
    </w:p>
    <w:p>
      <w:pPr>
        <w:pStyle w:val="Heading1"/>
        <w:keepNext w:val="false"/>
        <w:keepLines w:val="false"/>
        <w:spacing w:before="0" w:after="120"/>
        <w:ind w:hanging="0" w:start="0"/>
        <w:rPr/>
      </w:pPr>
      <w:r>
        <w:rPr/>
        <w:t xml:space="preserve">FACTUAL BACKGROUND </w:t>
      </w:r>
    </w:p>
    <w:p>
      <w:pPr>
        <w:pStyle w:val="Heading2"/>
        <w:keepLines w:val="false"/>
        <w:tabs>
          <w:tab w:val="clear" w:pos="720"/>
        </w:tabs>
        <w:spacing w:before="0" w:after="120"/>
        <w:ind w:hanging="0" w:start="0"/>
        <w:rPr/>
      </w:pPr>
      <w:r>
        <w:rPr/>
        <w:t xml:space="preserve">Parties </w:t>
      </w:r>
    </w:p>
    <w:p>
      <w:pPr>
        <w:pStyle w:val="BodyText"/>
        <w:rPr/>
      </w:pPr>
      <w:r>
        <w:rPr/>
        <w:t xml:space="preserve">Mirant Bowline, Mirant Lovett and Mirant NY-Gen are Delaware limited liability companies, each with its principal place of business at 400 Rella Boulevard, Suite 157, Suffern, New York 10901.  Mirant Bowline owns the Bowline Point Generating Station, a two unit, 1,215 MW generating facility located in the Village of West Haverstraw, New York; Mirant Lovett owns the Lovett Generating Station, a three unit, 443.4 MW generating facility located in Tomkins Grove, New York; and Mirant NY-Gen owns the Hillburn Gas Turbine (located in the Village of Hillburn, New York), the Shoemaker Gas Turbine (located in the Towns of Wawayanda and Wallkill, New York), the Mongaup Hydroelectric Station Units 1-4, the Swinging Bridge Hydroelectric Station Units 1 &amp; 2, the Rio Hydroelectric Station Units 1 &amp; 2 (all located on the Mongaup River), and the Grahamsville Hydroelectric Station (located in Grahamsville, New York).  </w:t>
      </w:r>
    </w:p>
    <w:p>
      <w:pPr>
        <w:pStyle w:val="BodyText"/>
        <w:rPr>
          <w:b/>
          <w:i/>
          <w:i/>
        </w:rPr>
      </w:pPr>
      <w:r>
        <w:rPr/>
        <w:t xml:space="preserve">The Mirant Companies are active participants in the markets administered by the NYISO.  MAEM bids energy, capacity and ancillary services, including the energy, capacity and ancillary services provided by the Mirant Bowline, Mirant Lovett and Mirant NY-Gen facilities, into the markets administered by the NYISO.  Mirant New York, which serves on the Management Committee, is the parent company of Mirant Bowline, Mirant Lovett and Mirant NY-Gen. </w:t>
      </w:r>
    </w:p>
    <w:p>
      <w:pPr>
        <w:pStyle w:val="Heading2"/>
        <w:ind w:hanging="0" w:start="0"/>
        <w:rPr/>
      </w:pPr>
      <w:r>
        <w:rPr/>
        <w:t>The NYISO's Current Market Mitigation Authority</w:t>
      </w:r>
    </w:p>
    <w:p>
      <w:pPr>
        <w:pStyle w:val="BodyText"/>
        <w:rPr/>
      </w:pPr>
      <w:r>
        <w:rPr/>
        <w:t xml:space="preserve">The NYISO first implemented its MMP pursuant to the Commission's January 27, 1999 </w:t>
      </w:r>
      <w:r>
        <w:rPr>
          <w:i/>
        </w:rPr>
        <w:t>Order Conditionally Accepting Tariff and Market Rules, Approving Market-Based Rates and Establishing Hearing and Settlement Judge Procedures</w:t>
      </w:r>
      <w:r>
        <w:rPr/>
        <w:t>.</w:t>
      </w:r>
      <w:r>
        <w:rPr>
          <w:rStyle w:val="FootnoteCharacters"/>
          <w:rStyle w:val="FootnoteReference"/>
        </w:rPr>
        <w:footnoteReference w:id="11"/>
      </w:r>
      <w:r>
        <w:rPr/>
        <w:t xml:space="preserve">  To the extent permitted in the current MMP, the MMU, in consultation with the Market Advisor, is responsible for monitoring the markets administered or controlled by the NYISO and for mitigating a Market Party's conduct when the NYISO determines that conduct is exercised from a position of market power.  </w:t>
      </w:r>
    </w:p>
    <w:p>
      <w:pPr>
        <w:pStyle w:val="BodyText"/>
        <w:rPr/>
      </w:pPr>
      <w:r>
        <w:rPr/>
        <w:t>The MMP currently provides specific threshold values for identifying generator and transmission facilities that exercise market power and imposes mitigation when a Market Party's conduct has a material impact on prices or on guarantee payments.  Conduct and impact criteria must be satisfied before the NYISO may mitigate a generator's bid.  The conduct criterion compares a generator's energy bid with a reference price that has been established for energy from that generator.  The thresholds for identifying conduct that may require mitigation are, with respect to energy and minimum generation bids, the lower of a 300% increase or an increase of $100 per MWh and, with respect to start-up cost bids, a 200% increase.  The impact criterion considers the impact that a high energy bid, as detected by the conduct criterion, will have on energy prices or guarantee payments.  The threshold for determining whether this impact criterion has been met is the lower of an increase of 200% or $100 per MWh in the hourly day-ahead or real-time energy locational based marginal price (the "LBMP") at any location, or an increase of 200% in guarantee payments to a Market Party for a day.</w:t>
      </w:r>
      <w:r>
        <w:rPr>
          <w:rStyle w:val="FootnoteCharacters"/>
          <w:rStyle w:val="FootnoteReference"/>
        </w:rPr>
        <w:footnoteReference w:id="12"/>
      </w:r>
      <w:r>
        <w:rPr/>
        <w:t xml:space="preserve">  The MMP does not permit the NYISO to impose financial penalties on a Market Party whose market behavior has exceeded the thresholds applicable to the conduct and impact criteria unless the Market Party has first failed to satisfactorily explain why its behavior was not an exercise of market power.</w:t>
      </w:r>
      <w:r>
        <w:rPr>
          <w:rStyle w:val="FootnoteCharacters"/>
          <w:rStyle w:val="FootnoteReference"/>
        </w:rPr>
        <w:footnoteReference w:id="13"/>
      </w:r>
      <w:r>
        <w:rPr/>
        <w:t xml:space="preserve">  </w:t>
      </w:r>
    </w:p>
    <w:p>
      <w:pPr>
        <w:pStyle w:val="Heading2"/>
        <w:ind w:hanging="0" w:start="0"/>
        <w:rPr/>
      </w:pPr>
      <w:r>
        <w:rPr/>
        <w:t>The NYISO's Proposed Modified Mitigation Procedures</w:t>
      </w:r>
    </w:p>
    <w:p>
      <w:pPr>
        <w:pStyle w:val="BodyText"/>
        <w:rPr/>
      </w:pPr>
      <w:r>
        <w:rPr/>
        <w:t>As a practical matter, under the current MMP, the NYISO can only detect the potential exercise of market power after-the-fact.  Moreover, under the current MMP, as well as under the Commission's long-accepted ratemaking principles, the NYISO may not mitigate market prices retroactively.</w:t>
      </w:r>
      <w:r>
        <w:rPr>
          <w:rStyle w:val="FootnoteCharacters"/>
          <w:rStyle w:val="FootnoteReference"/>
        </w:rPr>
        <w:footnoteReference w:id="14"/>
      </w:r>
      <w:r>
        <w:rPr/>
        <w:t xml:space="preserve">  </w:t>
      </w:r>
    </w:p>
    <w:p>
      <w:pPr>
        <w:pStyle w:val="BodyText"/>
        <w:rPr/>
      </w:pPr>
      <w:r>
        <w:rPr/>
        <w:t>Various committees within the NYISO studied the development of alternative mitigation procedures through the auspices of a "Circuit Breaker Working Group" (or the "CBWG").  On January 25, 2001, the CBWG presented a proposed automatic mitigation procedure, similar to the Modified Mitigation Procedures at issue in this proceeding, to the NYISO Business Issues Committee (the "BIC") for informal consideration through a non-binding straw vote.  The BIC straw vote rejected the proposed automatic mitigation measures.</w:t>
      </w:r>
      <w:r>
        <w:rPr>
          <w:rStyle w:val="FootnoteCharacters"/>
          <w:rStyle w:val="FootnoteReference"/>
        </w:rPr>
        <w:footnoteReference w:id="15"/>
      </w:r>
      <w:r>
        <w:rPr/>
        <w:t xml:space="preserve">  Subsequent to the BIC straw vote, no attempt was made to present proposed automatic mitigation procedures to the Management Committee for formal or informal consideration, which, as described below, is a clear violation of the NYISO's governance procedure.  Instead, the NYISO decided to submit its own Modified Mitigation Procedures directly to the Board without seeking the advice or consent of the Management Committee.  In addition, on February 8, 2001, the NYISO filed its Initial Comments in which the NYISO first made clear its intention to implement the Modified Mitigation Procedures without filing its proposal with the Commission pursuant to either Section 205 or 206 of the FPA.  On February 20, 2001, the Board directed the NYISO to implement the Modified Mitigation Procedures.  On March 9, 2001, the NYISO, at the Board's direction, submitted the Notice Filing.  </w:t>
      </w:r>
    </w:p>
    <w:p>
      <w:pPr>
        <w:pStyle w:val="BodyText"/>
        <w:rPr>
          <w:b/>
          <w:i/>
          <w:i/>
        </w:rPr>
      </w:pPr>
      <w:r>
        <w:rPr/>
        <w:t>The NYISO appears to be implementing the Modified Mitigation Procedures to serve as a selective bid mitigation mechanism that would be activated when the NYISO unilaterally determines that market conditions may not be workably competitive, as measured by its own unfiled threshold.  Once this initial threshold is triggered, day-ahead offers would be reviewed in real-time using the thresholds associated with the conduct and impact criteria that are currently employed under the MMP.  The NYISO's Notice Filing, as well as the Initial Comments, apparently take the view that, because the Modified Mitigation Procedures supposedly do nothing more than merely automate the existing conduct and impact criteria found in the current MMP, the NYISO need not seek approval to implement them either from the Commission or the Management Committee.</w:t>
      </w:r>
      <w:r>
        <w:rPr>
          <w:rStyle w:val="FootnoteCharacters"/>
          <w:rStyle w:val="FootnoteReference"/>
        </w:rPr>
        <w:footnoteReference w:id="16"/>
      </w:r>
      <w:r>
        <w:rPr/>
        <w:t xml:space="preserve">  As demonstrated below, however, the Modified Mitigation Procedures reflect substantive and material changes to the NYISO's FERC-filed MMP that relate to rates, terms and conditions of service under the Services Tariff, and these changes cannot be effective absent a filing by the NYISO pursuant to Section 205 or 206 of the FPA.</w:t>
      </w:r>
    </w:p>
    <w:p>
      <w:pPr>
        <w:pStyle w:val="Heading1"/>
        <w:ind w:hanging="0" w:start="0"/>
        <w:rPr/>
      </w:pPr>
      <w:r>
        <w:rPr/>
        <w:t>The modified mitigation procedures are beyond The Scope Of The NYISO's Existing Market Mitigation Authority.</w:t>
      </w:r>
    </w:p>
    <w:p>
      <w:pPr>
        <w:pStyle w:val="BodyText"/>
        <w:rPr/>
      </w:pPr>
      <w:r>
        <w:rPr/>
        <w:t xml:space="preserve">As described below, the proposed Modified Mitigation Procedures are beyond the scope of the NYISO's existing market mitigation authority under the current MMP. </w:t>
      </w:r>
    </w:p>
    <w:p>
      <w:pPr>
        <w:pStyle w:val="Heading2"/>
        <w:ind w:hanging="0" w:start="0"/>
        <w:rPr/>
      </w:pPr>
      <w:r>
        <w:rPr/>
        <w:t xml:space="preserve">The Modified Mitigation Procedures Create A New And Unproven Presumption That Market Power Has Been Exercised, And Thereby Deny The Procedural Due Process Currently Provided To Market Parties Under The MMP That Limits The Improper Mitigation Of Economically Justifiable Bids.  </w:t>
      </w:r>
    </w:p>
    <w:p>
      <w:pPr>
        <w:pStyle w:val="BodyText"/>
        <w:rPr/>
      </w:pPr>
      <w:r>
        <w:rPr/>
        <w:t xml:space="preserve">Under the existing MMP, if the NYISO's MMU determines that a Market Party's conduct both exceeds the relevant threshold and has a material impact on price or uplift payments, then the MMU </w:t>
      </w:r>
      <w:r>
        <w:rPr>
          <w:lang w:eastAsia="en-US"/>
        </w:rPr>
        <w:t>shall contact the Market Party for an explanation of the conduct in question.</w:t>
      </w:r>
      <w:r>
        <w:rPr>
          <w:rStyle w:val="FootnoteCharacters"/>
          <w:rStyle w:val="FootnoteReference"/>
          <w:lang w:eastAsia="en-US"/>
        </w:rPr>
        <w:footnoteReference w:id="17"/>
      </w:r>
      <w:r>
        <w:rPr>
          <w:lang w:eastAsia="en-US"/>
        </w:rPr>
        <w:t xml:space="preserve">  If the Market Party explains that its conduct is consistent with competitive behavior to the satisfaction of the NYISO, then no further action will be taken.  Indeed, in its December 23 Filing proposing the current MMP, the NYISO admitted that a Market Party </w:t>
      </w:r>
    </w:p>
    <w:p>
      <w:pPr>
        <w:pStyle w:val="BodyText"/>
        <w:tabs>
          <w:tab w:val="clear" w:pos="720"/>
          <w:tab w:val="left" w:pos="1440" w:leader="none"/>
        </w:tabs>
        <w:spacing w:lineRule="auto" w:line="240"/>
        <w:ind w:hanging="0" w:start="1440" w:end="720"/>
        <w:rPr/>
      </w:pPr>
      <w:r>
        <w:rPr>
          <w:lang w:eastAsia="en-US"/>
        </w:rPr>
        <w:t>may be able to show that a significant increase in bids was a result of a concomitant increase in fuel costs experienced by the Market Party of which the NYISO may not have been aware.  There may be a variety of other pro-competitive explanations for conduct that violates the specified thresholds and thus appears at first blush to be problematic.[</w:t>
      </w:r>
      <w:r>
        <w:rPr>
          <w:rStyle w:val="FootnoteCharacters"/>
          <w:rStyle w:val="FootnoteReference"/>
          <w:lang w:eastAsia="en-US"/>
        </w:rPr>
        <w:footnoteReference w:id="18"/>
      </w:r>
      <w:r>
        <w:rPr>
          <w:lang w:eastAsia="en-US"/>
        </w:rPr>
        <w:t xml:space="preserve">]  </w:t>
      </w:r>
    </w:p>
    <w:p>
      <w:pPr>
        <w:pStyle w:val="BodyText"/>
        <w:tabs>
          <w:tab w:val="clear" w:pos="720"/>
          <w:tab w:val="left" w:pos="1440" w:leader="none"/>
        </w:tabs>
        <w:spacing w:lineRule="auto" w:line="240"/>
        <w:ind w:hanging="0" w:start="1440" w:end="720"/>
        <w:rPr>
          <w:lang w:eastAsia="en-US"/>
        </w:rPr>
      </w:pPr>
      <w:r>
        <w:rPr>
          <w:lang w:eastAsia="en-US"/>
        </w:rPr>
      </w:r>
    </w:p>
    <w:p>
      <w:pPr>
        <w:pStyle w:val="BodyText"/>
        <w:ind w:hanging="0" w:end="0"/>
        <w:rPr>
          <w:lang w:eastAsia="en-US"/>
        </w:rPr>
      </w:pPr>
      <w:r>
        <w:rPr>
          <w:lang w:eastAsia="en-US"/>
        </w:rPr>
        <w:t xml:space="preserve">The pre-mitigation procedural protections afforded to parties subject to mitigation are essential to minimize the potential for the NYISO to undertake mitigation actions that are economically unjustifiable.   </w:t>
      </w:r>
    </w:p>
    <w:p>
      <w:pPr>
        <w:pStyle w:val="BodyText"/>
        <w:rPr/>
      </w:pPr>
      <w:r>
        <w:rPr>
          <w:lang w:eastAsia="en-US"/>
        </w:rPr>
        <w:t xml:space="preserve">The Modified Mitigation Procedures, however, "will be an </w:t>
      </w:r>
      <w:r>
        <w:rPr>
          <w:i/>
          <w:lang w:eastAsia="en-US"/>
        </w:rPr>
        <w:t>automated</w:t>
      </w:r>
      <w:r>
        <w:rPr>
          <w:lang w:eastAsia="en-US"/>
        </w:rPr>
        <w:t xml:space="preserve"> mitigation procedure for the </w:t>
      </w:r>
      <w:r>
        <w:rPr>
          <w:i/>
          <w:lang w:eastAsia="en-US"/>
        </w:rPr>
        <w:t>proactive</w:t>
      </w:r>
      <w:r>
        <w:rPr>
          <w:lang w:eastAsia="en-US"/>
        </w:rPr>
        <w:t xml:space="preserve"> mitigation of energy suppliers who </w:t>
      </w:r>
      <w:r>
        <w:rPr>
          <w:i/>
          <w:lang w:eastAsia="en-US"/>
        </w:rPr>
        <w:t>are about to</w:t>
      </w:r>
      <w:r>
        <w:rPr>
          <w:lang w:eastAsia="en-US"/>
        </w:rPr>
        <w:t xml:space="preserve"> exercise[] market power with a subsequent price impact."</w:t>
      </w:r>
      <w:r>
        <w:rPr>
          <w:rStyle w:val="FootnoteCharacters"/>
          <w:rStyle w:val="FootnoteReference"/>
          <w:lang w:eastAsia="en-US"/>
        </w:rPr>
        <w:footnoteReference w:id="19"/>
      </w:r>
      <w:r>
        <w:rPr>
          <w:lang w:eastAsia="en-US"/>
        </w:rPr>
        <w:t xml:space="preserve">  The Modified Mitigation Procedures create a new and unproven presumption that, when the NYISO determines that market conditions may not be workably competitive, a party that submits a bid that exceeds the thresholds associated with the conduct and impact criteria has </w:t>
      </w:r>
      <w:r>
        <w:rPr>
          <w:i/>
          <w:lang w:eastAsia="en-US"/>
        </w:rPr>
        <w:t>de facto</w:t>
      </w:r>
      <w:r>
        <w:rPr>
          <w:lang w:eastAsia="en-US"/>
        </w:rPr>
        <w:t xml:space="preserve"> exercised market power and the NYISO should apply mitigation.  As such, the Modified Mitigation Procedures eliminate the mandatory consultation procedure that provides a Market Party with an opportunity to show the NYISO that it has submitted justifiable bids and that mitigation is not appropriate.  In this way, the NYISO is attempting to eliminate the existing procedural due process set forth in the MMP.  </w:t>
      </w:r>
      <w:r>
        <w:br w:type="page"/>
      </w:r>
    </w:p>
    <w:p>
      <w:pPr>
        <w:pStyle w:val="Heading2"/>
        <w:ind w:hanging="0" w:start="0"/>
        <w:rPr>
          <w:lang w:eastAsia="en-US"/>
        </w:rPr>
      </w:pPr>
      <w:r>
        <w:rPr>
          <w:lang w:eastAsia="en-US"/>
        </w:rPr>
        <w:t>The Mitigation Of Economically Justifiable Behavior Under The Modified Mitigation Procedures Will Have An Adverse Impact On The Market.</w:t>
      </w:r>
    </w:p>
    <w:p>
      <w:pPr>
        <w:pStyle w:val="BodyText"/>
        <w:rPr/>
      </w:pPr>
      <w:r>
        <w:rPr>
          <w:lang w:eastAsia="en-US"/>
        </w:rPr>
        <w:t>Mitigation under the Modified Mitigation Procedures is likely to result in a greater probability of improper mitigation actions by the NYISO (</w:t>
      </w:r>
      <w:r>
        <w:rPr>
          <w:i/>
          <w:lang w:eastAsia="en-US"/>
        </w:rPr>
        <w:t>i.e</w:t>
      </w:r>
      <w:r>
        <w:rPr>
          <w:lang w:eastAsia="en-US"/>
        </w:rPr>
        <w:t>., actions that are taken in response to conduct that is economically justifiable and should therefore not be subject to mitigation).  Apparently recognizing this outcome, the NYISO has suggested that if the imposition of mitigation causes a generator to incur an operating loss, then that generator may be able to obtain retroactive compensation through an uplift payment.</w:t>
      </w:r>
      <w:r>
        <w:rPr>
          <w:rStyle w:val="FootnoteCharacters"/>
          <w:rStyle w:val="FootnoteReference"/>
          <w:lang w:eastAsia="en-US"/>
        </w:rPr>
        <w:footnoteReference w:id="20"/>
      </w:r>
      <w:r>
        <w:rPr>
          <w:lang w:eastAsia="en-US"/>
        </w:rPr>
        <w:t xml:space="preserve">  After-the-fact uplift-based compensation for improperly mitigated bids, while making the improperly mitigated bids whole, imposes new substantive risks on other suppliers and on the market generally.  Specifically, an improperly mitigated bid that was the marginal bid before the automatic mitigation will forever be denied the ability to set the clearing price.  The NYISO's proposed after-the-fact uplift payments do nothing to remedy the risk to other suppliers and the market generally associated with the inability of an improperly mitigated bid to set the clearing price.  As such, the NYISO should be required to file the Modified Mitigation Procedures with the Commission pursuant to either Section 205 or 206 of the FPA, as described below, to allow the Commission to determine whether the Modified Mitigation Procedures would have an adverse and uncorrectable impact on the market by sending artificially depressed price signals to Market Parties. </w:t>
      </w:r>
    </w:p>
    <w:p>
      <w:pPr>
        <w:pStyle w:val="Heading2"/>
        <w:ind w:hanging="0" w:start="0"/>
        <w:rPr/>
      </w:pPr>
      <w:r>
        <w:rPr/>
        <w:t xml:space="preserve">The Modified Mitigation Procedures Impose A New Objective Threshold For Mitigation.  </w:t>
      </w:r>
    </w:p>
    <w:p>
      <w:pPr>
        <w:pStyle w:val="BodyText"/>
        <w:rPr/>
      </w:pPr>
      <w:r>
        <w:rPr/>
        <w:t>The NYISO's current MMP establishes specific conduct and impact thresholds for identifying market behavior that trigger possible mitigation.  The proposed Modified Mitigation Procedures establish a new threshold in this analysis that never appears in the MMP which, if exceeded, permits the NYISO to impose its mitigation of suspect market behavior.  In particular, if the energy price in any zone for any time exceeds the threshold level of $150/MWh, then the Modified Mitigation Procedures will be invoked and mitigation of suspect market behavior is automatic if the conduct and impact thresholds are also surpassed.  In contrast, under the current MMP, even if the conduct and impact thresholds are exceeded and the zonal energy price exceeds $150/MWh, mitigation would not be automatic (indeed, it may not even be applied at all).</w:t>
      </w:r>
      <w:r>
        <w:rPr>
          <w:rStyle w:val="FootnoteCharacters"/>
          <w:rStyle w:val="FootnoteReference"/>
        </w:rPr>
        <w:footnoteReference w:id="21"/>
      </w:r>
      <w:r>
        <w:rPr/>
        <w:t xml:space="preserve">  Accordingly, the imposition of the Modified Mitigation Procedures presents a material change to the NYISO's mitigation authority under the current MMP.</w:t>
      </w:r>
    </w:p>
    <w:p>
      <w:pPr>
        <w:pStyle w:val="Heading1"/>
        <w:ind w:hanging="0" w:start="0"/>
        <w:rPr/>
      </w:pPr>
      <w:r>
        <w:rPr/>
        <w:t xml:space="preserve">the NYISO is required to file any amendments to its mmp under section 205 or 206 of the fpa </w:t>
      </w:r>
    </w:p>
    <w:p>
      <w:pPr>
        <w:pStyle w:val="BodyText"/>
        <w:rPr/>
      </w:pPr>
      <w:r>
        <w:rPr/>
        <w:t>Because the Modified Mitigation Procedures fall outside the scope of the NYISO's market mitigation authority under the current MMP, the provisions of the MMP, the Services Tariff and Commission precedent require that the NYISO file the appropriate amendments to the MMP with the Commission pursuant to either Section 205 or 206 of the FPA.  Section 8.1 of the MMP specifically provides that the NYISO's market mitigation measures will become effective only upon the Commission's approval, which must be sought in the same manner as approvals for proposed amendments to the Services Tariff.</w:t>
      </w:r>
      <w:r>
        <w:rPr>
          <w:rStyle w:val="FootnoteCharacters"/>
          <w:rStyle w:val="FootnoteReference"/>
        </w:rPr>
        <w:footnoteReference w:id="22"/>
      </w:r>
      <w:r>
        <w:rPr/>
        <w:t xml:space="preserve">  </w:t>
      </w:r>
    </w:p>
    <w:p>
      <w:pPr>
        <w:pStyle w:val="BodyText"/>
        <w:rPr/>
      </w:pPr>
      <w:r>
        <w:rPr/>
        <w:t>Section 19.01 of the NYISO Agreement provides the only method for implementing changes to the Services Tariff.  Under Section 19.01, any proposed amendment to the Services Tariff must first be submitted to both the Management Committee and the Board.  If both the Board and the Management Committee agree to the proposed amendment, then the NYISO may file the amendment with the Commission pursuant to Section 205 of the FPA.  If the Management Committee does not agree to the amendment, however, the Board may file a unilateral amendment under Section 205 only if the Board certifies that (i) the amendment is required by exigent circumstances related to the reliability of the NYISO system or a market administered by the NYISO, and (ii) the urgency of the situation necessitates a deviation from the NYISO's regular governance procedures.</w:t>
      </w:r>
      <w:r>
        <w:rPr>
          <w:rStyle w:val="FootnoteCharacters"/>
          <w:rStyle w:val="FootnoteReference"/>
        </w:rPr>
        <w:footnoteReference w:id="23"/>
      </w:r>
      <w:r>
        <w:rPr/>
        <w:t xml:space="preserve">  Alternatively, the NYISO may seek to amend the Services Tariff under Section 206 of the FPA.</w:t>
      </w:r>
      <w:r>
        <w:rPr>
          <w:rStyle w:val="FootnoteCharacters"/>
          <w:rStyle w:val="FootnoteReference"/>
        </w:rPr>
        <w:footnoteReference w:id="24"/>
      </w:r>
      <w:r>
        <w:rPr/>
        <w:t xml:space="preserve">  </w:t>
      </w:r>
    </w:p>
    <w:p>
      <w:pPr>
        <w:pStyle w:val="BodyText"/>
        <w:rPr/>
      </w:pPr>
      <w:r>
        <w:rPr/>
        <w:t xml:space="preserve">Read together, Section 8.1 of the MMP and Sections 19.01 and 19.02 of the NYISO Agreement unambiguously require the NYISO to file any material changes to the MMP's existing market mitigation measures pursuant to (i) Section 205 of the FPA, but only after submitting the proposed changes to the Management Committee and the Board, or (ii) Section 206 of the FPA.  The NYISO, however, has not filed the Modified Mitigation Procedures with the Commission pursuant to either Section 205 or 206, but rather has simply informed the Commission of the implementation of the Modified Mitigation Procedures in the Notice Filing.  Moreover, the NYISO has made no attempt to submit its proposed Modified Mitigation Procedures to the Management Committee, and instead has sought to bypass the NYISO governance procedures in Section 19 of the NYISO Agreement.  The Mirant Companies, therefore, request that the Commission issue an order determining that the NYISO's Modified Mitigation Procedures are invalid and without legal effect. </w:t>
      </w:r>
    </w:p>
    <w:p>
      <w:pPr>
        <w:pStyle w:val="BodyText"/>
        <w:rPr/>
      </w:pPr>
      <w:r>
        <w:rPr/>
        <w:t>The Commission has made clear in the past that the NYISO must formally file proposed substantive changes to the MMP.  In the March 29 Order, in which the Commission accepted the MMP subject to a later compliance filing publicly disclosing the MMP conduct and impact thresholds, the Commission provided that, if the NYISO wished to amend the mitigation thresholds in addition to publicly disclosing the thresholds, it must first file the new standards under Section 205 of the FPA.</w:t>
      </w:r>
      <w:r>
        <w:rPr>
          <w:rStyle w:val="FootnoteCharacters"/>
          <w:rStyle w:val="FootnoteReference"/>
        </w:rPr>
        <w:footnoteReference w:id="25"/>
      </w:r>
      <w:r>
        <w:rPr/>
        <w:t xml:space="preserve">  </w:t>
      </w:r>
    </w:p>
    <w:p>
      <w:pPr>
        <w:pStyle w:val="BodyText"/>
        <w:rPr/>
      </w:pPr>
      <w:r>
        <w:rPr/>
        <w:t xml:space="preserve">In addition, the Commission has held under similar circumstances that an independent system operator is required to file a change that relates to rates, terms and conditions of a FERC-filed tariff with the Commission, even if the change does not literally amend the provisions of the tariff or any agreements on file with the Commission.  In </w:t>
      </w:r>
      <w:r>
        <w:rPr>
          <w:i/>
        </w:rPr>
        <w:t>Atlantic City Electric Company, et al</w:t>
      </w:r>
      <w:r>
        <w:rPr/>
        <w:t>., various parties filed a complaint against PJM Interconnection, L.L.C. ("PJM") alleging that PJM and its market monitoring unit had failed to seek Commission approval for a change in an operating manual that would affect the bid-related treatment of minimum run times for market suppliers.</w:t>
      </w:r>
      <w:r>
        <w:rPr>
          <w:rStyle w:val="FootnoteCharacters"/>
          <w:rStyle w:val="FootnoteReference"/>
        </w:rPr>
        <w:footnoteReference w:id="26"/>
      </w:r>
      <w:r>
        <w:rPr/>
        <w:t xml:space="preserve">  PJM argued that it was not required to file the change with the Commission because it was only seeking to amend its operating manual, and literally no change was required to PJM's FERC-filed tariff.  The Commission agreed with complainants that the proposed change to the operating manual was a change that relates to rates, terms and conditions to the associated FERC-filed tariff that must be filed with the Commission pursuant to Section 205 of the FPA prior to becoming effective.</w:t>
      </w:r>
      <w:r>
        <w:rPr>
          <w:rStyle w:val="FootnoteCharacters"/>
          <w:rStyle w:val="FootnoteReference"/>
        </w:rPr>
        <w:footnoteReference w:id="27"/>
      </w:r>
      <w:r>
        <w:rPr/>
        <w:t xml:space="preserve">  Particularly relevant here, the Commission noted in </w:t>
      </w:r>
      <w:r>
        <w:rPr>
          <w:i/>
        </w:rPr>
        <w:t xml:space="preserve">Atlantic City Electric Company </w:t>
      </w:r>
      <w:r>
        <w:rPr/>
        <w:t>that requiring PJM to file the change would provide market participants an opportunity to be heard before the Commission with regard to the merits of the proposed change.</w:t>
      </w:r>
      <w:r>
        <w:rPr>
          <w:rStyle w:val="FootnoteCharacters"/>
          <w:rStyle w:val="FootnoteReference"/>
        </w:rPr>
        <w:footnoteReference w:id="28"/>
      </w:r>
      <w:r>
        <w:rPr/>
        <w:t xml:space="preserve">  Similarly, because the Modified Mitigation Procedures reflect material and substantive changes to the rates, terms and conditions of the FERC-filed MMP, even if they do not literally amend the provisions of the Services Tariff, the NYISO is required to seek authorization from the Commission under Section 205 or 206 of the FPA to implement the Modified Mitigation Procedures. </w:t>
      </w:r>
    </w:p>
    <w:p>
      <w:pPr>
        <w:pStyle w:val="Heading1"/>
        <w:ind w:hanging="0" w:start="0"/>
        <w:rPr/>
      </w:pPr>
      <w:r>
        <w:rPr/>
        <w:t>request for fast track procedures</w:t>
      </w:r>
    </w:p>
    <w:p>
      <w:pPr>
        <w:pStyle w:val="BodyText"/>
        <w:rPr/>
      </w:pPr>
      <w:r>
        <w:rPr/>
        <w:t>The Mirant Companies request Fast Track processing of this Complaint pursuant to Rules 385.206(b)(11) and 385.206(h) of the Commission's rules so that this matter can be quickly resolved.  Expeditious procedures are required because the NYISO intends to implement the Modified Mitigation Procedures in May 2001.</w:t>
      </w:r>
      <w:r>
        <w:rPr>
          <w:rStyle w:val="FootnoteCharacters"/>
          <w:rStyle w:val="FootnoteReference"/>
        </w:rPr>
        <w:footnoteReference w:id="29"/>
      </w:r>
      <w:r>
        <w:rPr/>
        <w:t xml:space="preserve">  As noted above, under the Modified Mitigation Procedures, an improperly mitigated bid that </w:t>
      </w:r>
      <w:r>
        <w:rPr>
          <w:lang w:eastAsia="en-US"/>
        </w:rPr>
        <w:t xml:space="preserve">was the marginal bid before mitigation </w:t>
      </w:r>
      <w:r>
        <w:rPr/>
        <w:t>will be d</w:t>
      </w:r>
      <w:r>
        <w:rPr>
          <w:lang w:eastAsia="en-US"/>
        </w:rPr>
        <w:t xml:space="preserve">enied the ability to set the clearing price.  </w:t>
      </w:r>
      <w:r>
        <w:rPr/>
        <w:t>Because the Mirant Companies believe that the Modified Mitigation Procedures are ineffective prior to acceptance or approval by the Commission, there will be substantial uncertainty as to the appropriate prices paid to suppliers when the Modified Mitigation Procedures are in effect.  It is therefore in the interest of all market participants to have certainty on this matter as soon as possible.</w:t>
      </w:r>
    </w:p>
    <w:p>
      <w:pPr>
        <w:pStyle w:val="Heading1"/>
        <w:ind w:hanging="0" w:start="0"/>
        <w:rPr/>
      </w:pPr>
      <w:r>
        <w:rPr/>
        <w:t>dispute resolution procedures</w:t>
      </w:r>
    </w:p>
    <w:p>
      <w:pPr>
        <w:pStyle w:val="BodyText"/>
        <w:rPr/>
      </w:pPr>
      <w:r>
        <w:rPr/>
        <w:t xml:space="preserve">The Mirant Companies have not used the Commission's Enforcement Hotline or Dispute Resolution Service with respect to this matter.  The Mirant Companies actively participated in the CBWG and expressed their concerns with regard to the manner in which the NYISO was seeking to implement the Modified Mitigation Procedures.  It appears that there is a good faith disagreement between the parties regarding the NYISO's authority and the Commission's filing requirements under Sections 205 and 206 of the FPA.  The Mirant Companies believe that Dispute Resolution under the Commission's supervision is unlikely to assist the parties in their efforts to resolve the issues set forth in this Complaint.  In addition, the Mirant Companies do not believe that mediation of this legal issue would be effective.  </w:t>
      </w:r>
      <w:r>
        <w:br w:type="page"/>
      </w:r>
    </w:p>
    <w:p>
      <w:pPr>
        <w:pStyle w:val="Heading1"/>
        <w:ind w:hanging="0" w:start="0"/>
        <w:rPr/>
      </w:pPr>
      <w:r>
        <w:rPr/>
        <w:t>conclusion</w:t>
      </w:r>
    </w:p>
    <w:p>
      <w:pPr>
        <w:pStyle w:val="BodyText"/>
        <w:rPr/>
      </w:pPr>
      <w:r>
        <w:rPr/>
        <w:t>WHEREFORE, for the foregoing reasons, the Mirant Companies respectfully submit this Motion to Intervene, Answer and Complaint, and request that the Commission (1) utilize Fast Track procedures to resolve this matter, and (2) issue an order determining that (a) the NYISO's proposed Modified Mitigation Procedures reflect substantive and material changes to the NYISO's FERC-filed MMP and the Services Tariff which cannot be effective absent a filing by the NYISO pursuant to Section 205 or 206 of the FPA, and (b) the NYISO's attempt to implement the Modified Mitigation Procedures without making a Section 205 or 206 filing is in violation of the provisions of the MMP, the Services Tariff and Commission precedent, and is therefore invalid and without legal effect.</w:t>
      </w:r>
    </w:p>
    <w:p>
      <w:pPr>
        <w:pStyle w:val="Normal"/>
        <w:spacing w:before="0" w:after="720"/>
        <w:ind w:start="4320" w:end="0"/>
        <w:rPr>
          <w:sz w:val="24"/>
        </w:rPr>
      </w:pPr>
      <w:r>
        <w:rPr>
          <w:sz w:val="24"/>
        </w:rPr>
        <w:t>Respectfully submitted,</w:t>
      </w:r>
    </w:p>
    <w:p>
      <w:pPr>
        <w:pStyle w:val="Normal"/>
        <w:tabs>
          <w:tab w:val="clear" w:pos="720"/>
          <w:tab w:val="left" w:pos="8640" w:leader="none"/>
        </w:tabs>
        <w:spacing w:before="0" w:after="0"/>
        <w:ind w:start="4320" w:end="0"/>
        <w:rPr>
          <w:sz w:val="24"/>
        </w:rPr>
      </w:pPr>
      <w:r>
        <w:rPr>
          <w:sz w:val="24"/>
          <w:u w:val="single"/>
        </w:rPr>
        <w:tab/>
      </w:r>
    </w:p>
    <w:p>
      <w:pPr>
        <w:pStyle w:val="Normal"/>
        <w:spacing w:before="0" w:after="0"/>
        <w:ind w:start="4320" w:end="0"/>
        <w:rPr>
          <w:sz w:val="24"/>
        </w:rPr>
      </w:pPr>
      <w:r>
        <w:rPr>
          <w:sz w:val="24"/>
        </w:rPr>
        <w:t>David L. Schwartz</w:t>
      </w:r>
    </w:p>
    <w:p>
      <w:pPr>
        <w:pStyle w:val="Normal"/>
        <w:spacing w:before="0" w:after="0"/>
        <w:ind w:start="4320" w:end="0"/>
        <w:rPr>
          <w:sz w:val="24"/>
        </w:rPr>
      </w:pPr>
      <w:r>
        <w:rPr>
          <w:sz w:val="24"/>
        </w:rPr>
        <w:t>Michael J. Gergen</w:t>
      </w:r>
    </w:p>
    <w:p>
      <w:pPr>
        <w:pStyle w:val="Normal"/>
        <w:spacing w:before="0" w:after="0"/>
        <w:ind w:start="4320" w:end="0"/>
        <w:rPr>
          <w:sz w:val="24"/>
        </w:rPr>
      </w:pPr>
      <w:r>
        <w:rPr>
          <w:sz w:val="24"/>
        </w:rPr>
        <w:t>George D. Cannon, Jr.</w:t>
      </w:r>
    </w:p>
    <w:p>
      <w:pPr>
        <w:pStyle w:val="Normal"/>
        <w:spacing w:before="0" w:after="0"/>
        <w:ind w:start="4320" w:end="0"/>
        <w:rPr>
          <w:sz w:val="24"/>
        </w:rPr>
      </w:pPr>
      <w:r>
        <w:rPr>
          <w:sz w:val="24"/>
        </w:rPr>
        <w:t>LATHAM &amp; WATKINS</w:t>
      </w:r>
    </w:p>
    <w:p>
      <w:pPr>
        <w:pStyle w:val="Normal"/>
        <w:spacing w:before="0" w:after="0"/>
        <w:ind w:start="4320" w:end="0"/>
        <w:rPr>
          <w:sz w:val="24"/>
        </w:rPr>
      </w:pPr>
      <w:r>
        <w:rPr>
          <w:sz w:val="24"/>
        </w:rPr>
        <w:t>555 Eleventh Street N. W.</w:t>
      </w:r>
    </w:p>
    <w:p>
      <w:pPr>
        <w:pStyle w:val="Normal"/>
        <w:spacing w:before="0" w:after="0"/>
        <w:ind w:start="4320" w:end="0"/>
        <w:rPr>
          <w:sz w:val="24"/>
        </w:rPr>
      </w:pPr>
      <w:r>
        <w:rPr>
          <w:sz w:val="24"/>
        </w:rPr>
        <w:t>Suite 1000</w:t>
      </w:r>
    </w:p>
    <w:p>
      <w:pPr>
        <w:pStyle w:val="Normal"/>
        <w:spacing w:before="0" w:after="0"/>
        <w:ind w:start="4320" w:end="0"/>
        <w:rPr>
          <w:sz w:val="24"/>
        </w:rPr>
      </w:pPr>
      <w:r>
        <w:rPr>
          <w:sz w:val="24"/>
        </w:rPr>
        <w:t>Washington, D.C. 20004</w:t>
      </w:r>
    </w:p>
    <w:p>
      <w:pPr>
        <w:pStyle w:val="Normal"/>
        <w:ind w:start="4320" w:end="0"/>
        <w:rPr>
          <w:sz w:val="24"/>
        </w:rPr>
      </w:pPr>
      <w:r>
        <w:rPr>
          <w:sz w:val="24"/>
        </w:rPr>
        <w:t>(202) 637-2200</w:t>
      </w:r>
    </w:p>
    <w:p>
      <w:pPr>
        <w:pStyle w:val="Normal"/>
        <w:spacing w:before="0" w:after="0"/>
        <w:ind w:start="4320" w:end="0"/>
        <w:rPr>
          <w:sz w:val="24"/>
        </w:rPr>
      </w:pPr>
      <w:r>
        <w:rPr>
          <w:sz w:val="24"/>
        </w:rPr>
        <w:t xml:space="preserve">Counsel to </w:t>
      </w:r>
    </w:p>
    <w:p>
      <w:pPr>
        <w:pStyle w:val="Normal"/>
        <w:spacing w:before="0" w:after="0"/>
        <w:ind w:start="4320" w:end="0"/>
        <w:rPr>
          <w:sz w:val="24"/>
        </w:rPr>
      </w:pPr>
      <w:r>
        <w:rPr>
          <w:sz w:val="24"/>
        </w:rPr>
        <w:t xml:space="preserve">Mirant Americas Energy Marketing, L.P., </w:t>
      </w:r>
    </w:p>
    <w:p>
      <w:pPr>
        <w:pStyle w:val="Normal"/>
        <w:spacing w:before="0" w:after="0"/>
        <w:ind w:start="4320" w:end="0"/>
        <w:rPr>
          <w:sz w:val="24"/>
        </w:rPr>
      </w:pPr>
      <w:r>
        <w:rPr>
          <w:sz w:val="24"/>
        </w:rPr>
        <w:t>Mirant New York, Inc.</w:t>
      </w:r>
    </w:p>
    <w:p>
      <w:pPr>
        <w:pStyle w:val="Normal"/>
        <w:spacing w:before="0" w:after="0"/>
        <w:ind w:start="4320" w:end="0"/>
        <w:rPr>
          <w:sz w:val="24"/>
        </w:rPr>
      </w:pPr>
      <w:r>
        <w:rPr>
          <w:sz w:val="24"/>
        </w:rPr>
        <w:t xml:space="preserve">Mirant Bowline, LLC, </w:t>
      </w:r>
    </w:p>
    <w:p>
      <w:pPr>
        <w:pStyle w:val="Normal"/>
        <w:spacing w:before="0" w:after="0"/>
        <w:ind w:start="4320" w:end="0"/>
        <w:rPr>
          <w:sz w:val="24"/>
        </w:rPr>
      </w:pPr>
      <w:r>
        <w:rPr>
          <w:sz w:val="24"/>
        </w:rPr>
        <w:t>Mirant Lovett, LLC, and</w:t>
      </w:r>
    </w:p>
    <w:p>
      <w:pPr>
        <w:pStyle w:val="Normal"/>
        <w:spacing w:before="0" w:after="120"/>
        <w:ind w:start="4320" w:end="0"/>
        <w:rPr>
          <w:sz w:val="24"/>
        </w:rPr>
      </w:pPr>
      <w:r>
        <w:rPr>
          <w:sz w:val="24"/>
        </w:rPr>
        <w:t>Mirant NY-Gen, LLC.</w:t>
      </w:r>
    </w:p>
    <w:p>
      <w:pPr>
        <w:pStyle w:val="BodyTextContinued"/>
        <w:spacing w:lineRule="auto" w:line="240" w:before="0" w:after="240"/>
        <w:rPr/>
      </w:pPr>
      <w:r>
        <w:rPr/>
        <w:t>Dated:  March 16, 2001</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576" w:top="1440" w:footer="576"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s>
      <w:spacing w:before="0" w:after="240"/>
      <w:jc w:val="center"/>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19</w:t>
    </w:r>
    <w:r>
      <w:rPr>
        <w:rStyle w:val="PageNumber"/>
        <w:lang w:val="en-CA"/>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lang w:val="en-CA"/>
      </w:rPr>
    </w:pPr>
    <w:r>
      <w:rPr>
        <w:lang w:val="en-CA"/>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120" w:after="240"/>
        <w:ind w:hanging="720" w:start="720" w:end="0"/>
        <w:rPr/>
      </w:pPr>
      <w:r>
        <w:rPr>
          <w:rStyle w:val="FootnoteCharacters"/>
        </w:rPr>
        <w:footnoteRef/>
      </w:r>
      <w:r>
        <w:rPr/>
        <w:t xml:space="preserve"> </w:t>
      </w:r>
      <w:r>
        <w:rPr/>
        <w:tab/>
        <w:t>Because the NYISO's Notice Filing is a request to withdraw the Notice Filing and is not a pleading specified in Rule 213(a)(2) of the Commission's Rules of Practice and Procedure, the Mirant Companies are permitted to file this Answer pursuant to Rule 213(a)(3).</w:t>
      </w:r>
    </w:p>
  </w:footnote>
  <w:footnote w:id="3">
    <w:p>
      <w:pPr>
        <w:pStyle w:val="FootnoteText"/>
        <w:spacing w:before="0" w:after="240"/>
        <w:rPr/>
      </w:pPr>
      <w:r>
        <w:rPr>
          <w:rStyle w:val="FootnoteCharacters"/>
        </w:rPr>
        <w:footnoteRef/>
      </w:r>
      <w:r>
        <w:rPr/>
        <w:t xml:space="preserve"> </w:t>
      </w:r>
      <w:r>
        <w:rPr/>
        <w:tab/>
        <w:t xml:space="preserve">FERC Docket No. ER01-181-000.  Concurrent with the October Filing, the NYISO also submitted a proposal under Section 205 of the FPA to extend the existing bid caps through April 30, 2001.  </w:t>
      </w:r>
    </w:p>
  </w:footnote>
  <w:footnote w:id="4">
    <w:p>
      <w:pPr>
        <w:pStyle w:val="FootnoteText"/>
        <w:spacing w:before="120" w:after="240"/>
        <w:ind w:hanging="720" w:start="720" w:end="0"/>
        <w:rPr/>
      </w:pPr>
      <w:r>
        <w:rPr>
          <w:rStyle w:val="FootnoteCharacters"/>
        </w:rPr>
        <w:footnoteRef/>
      </w:r>
      <w:r>
        <w:rPr/>
        <w:t xml:space="preserve"> </w:t>
      </w:r>
      <w:r>
        <w:rPr/>
        <w:tab/>
      </w:r>
      <w:r>
        <w:rPr>
          <w:i/>
        </w:rPr>
        <w:t>See Section 206 Filing of the NYISO at the Direction of its Board of Directors, for Permission To Extend Temporary Bid Caps Pending the Implementation of a Market Protective Mechanism</w:t>
      </w:r>
      <w:r>
        <w:rPr/>
        <w:t xml:space="preserve">, filed on October 24, 2000, at 7 </w:t>
      </w:r>
    </w:p>
  </w:footnote>
  <w:footnote w:id="5">
    <w:p>
      <w:pPr>
        <w:pStyle w:val="FootnoteText"/>
        <w:spacing w:before="0" w:after="240"/>
        <w:rPr/>
      </w:pPr>
      <w:r>
        <w:rPr>
          <w:rStyle w:val="FootnoteCharacters"/>
        </w:rPr>
        <w:footnoteRef/>
      </w:r>
      <w:r>
        <w:rPr>
          <w:rStyle w:val="FootnoteCharacters"/>
        </w:rPr>
        <w:t xml:space="preserve"> </w:t>
      </w:r>
      <w:r>
        <w:rPr>
          <w:rStyle w:val="FootnoteCharacters"/>
        </w:rPr>
        <w:tab/>
      </w:r>
      <w:r>
        <w:rPr>
          <w:rStyle w:val="FootnoteCharacters"/>
          <w:position w:val="0"/>
          <w:sz w:val="24"/>
          <w:vertAlign w:val="baseline"/>
        </w:rPr>
        <w:t xml:space="preserve">The MMP defines "Market Party" as any person that is "a buyer or seller in, or that makes offers to buy and sell in, or that schedules or seeks to schedule transactions with the NYISO in or affecting" any of the markets that the NYISO administers.  </w:t>
      </w:r>
    </w:p>
  </w:footnote>
  <w:footnote w:id="6">
    <w:p>
      <w:pPr>
        <w:pStyle w:val="FootnoteText"/>
        <w:spacing w:before="120" w:after="240"/>
        <w:ind w:hanging="720" w:start="720" w:end="0"/>
        <w:rPr/>
      </w:pPr>
      <w:r>
        <w:rPr>
          <w:rStyle w:val="FootnoteCharacters"/>
        </w:rPr>
        <w:footnoteRef/>
      </w:r>
      <w:r>
        <w:rPr/>
        <w:t xml:space="preserve"> </w:t>
      </w:r>
      <w:r>
        <w:rPr/>
        <w:tab/>
        <w:t>As described herein, the Board may file a unilateral amendment under Section 205 only if it certifies that the amendment is required by exigent circumstances, and the urgency of the situation necessitates a deviation from the NYISO's regular governance procedures.</w:t>
      </w:r>
    </w:p>
  </w:footnote>
  <w:footnote w:id="7">
    <w:p>
      <w:pPr>
        <w:pStyle w:val="FootnoteText"/>
        <w:spacing w:before="120" w:after="240"/>
        <w:ind w:hanging="720" w:start="720" w:end="0"/>
        <w:rPr/>
      </w:pPr>
      <w:r>
        <w:rPr>
          <w:rStyle w:val="FootnoteCharacters"/>
        </w:rPr>
        <w:footnoteRef/>
      </w:r>
      <w:r>
        <w:rPr/>
        <w:t xml:space="preserve"> </w:t>
      </w:r>
      <w:r>
        <w:rPr/>
        <w:tab/>
      </w:r>
      <w:r>
        <w:rPr>
          <w:i/>
        </w:rPr>
        <w:t xml:space="preserve">Initial Comments of the NYISO, </w:t>
      </w:r>
      <w:r>
        <w:rPr/>
        <w:t>FERC Docket Nos. ER00-3591-000, ER00-1969-000, ER01-94-000, and ER01-180-000, at 34 (the "Initial Comments").</w:t>
      </w:r>
    </w:p>
  </w:footnote>
  <w:footnote w:id="8">
    <w:p>
      <w:pPr>
        <w:pStyle w:val="FootnoteText"/>
        <w:spacing w:before="120" w:after="240"/>
        <w:ind w:hanging="720" w:start="720" w:end="0"/>
        <w:rPr/>
      </w:pPr>
      <w:r>
        <w:rPr>
          <w:rStyle w:val="FootnoteCharacters"/>
        </w:rPr>
        <w:footnoteRef/>
      </w:r>
      <w:r>
        <w:rPr/>
        <w:t xml:space="preserve"> </w:t>
      </w:r>
      <w:r>
        <w:rPr/>
        <w:tab/>
        <w:t>The NYISO submitted both the October Filing and the Notice Filing at the direction of the Board.</w:t>
      </w:r>
    </w:p>
  </w:footnote>
  <w:footnote w:id="9">
    <w:p>
      <w:pPr>
        <w:pStyle w:val="FootnoteText"/>
        <w:spacing w:before="0" w:after="240"/>
        <w:rPr/>
      </w:pPr>
      <w:r>
        <w:rPr>
          <w:rStyle w:val="FootnoteCharacters"/>
        </w:rPr>
        <w:footnoteRef/>
      </w:r>
      <w:r>
        <w:rPr/>
        <w:t xml:space="preserve"> </w:t>
      </w:r>
      <w:r>
        <w:rPr/>
        <w:tab/>
        <w:t>Notice Filing at 3.</w:t>
      </w:r>
    </w:p>
  </w:footnote>
  <w:footnote w:id="10">
    <w:p>
      <w:pPr>
        <w:pStyle w:val="FootnoteText"/>
        <w:spacing w:before="0" w:after="240"/>
        <w:rPr/>
      </w:pPr>
      <w:r>
        <w:rPr>
          <w:rStyle w:val="FootnoteCharacters"/>
        </w:rPr>
        <w:footnoteRef/>
      </w:r>
      <w:r>
        <w:rPr/>
        <w:t xml:space="preserve"> </w:t>
      </w:r>
      <w:r>
        <w:rPr/>
        <w:tab/>
        <w:t>Notice Filing at 3.</w:t>
      </w:r>
    </w:p>
  </w:footnote>
  <w:footnote w:id="11">
    <w:p>
      <w:pPr>
        <w:pStyle w:val="FootnoteText"/>
        <w:spacing w:before="0" w:after="240"/>
        <w:rPr/>
      </w:pPr>
      <w:r>
        <w:rPr>
          <w:rStyle w:val="FootnoteCharacters"/>
        </w:rPr>
        <w:footnoteRef/>
      </w:r>
      <w:r>
        <w:rPr>
          <w:rStyle w:val="FootnoteCharacters"/>
          <w:position w:val="0"/>
          <w:sz w:val="20"/>
          <w:sz w:val="20"/>
          <w:vertAlign w:val="baseline"/>
        </w:rPr>
        <w:t xml:space="preserve"> </w:t>
      </w:r>
      <w:r>
        <w:rPr>
          <w:rStyle w:val="FootnoteCharacters"/>
          <w:position w:val="0"/>
          <w:sz w:val="24"/>
          <w:vertAlign w:val="baseline"/>
        </w:rPr>
        <w:tab/>
        <w:t xml:space="preserve">The NYISO filed its proposed MMP </w:t>
      </w:r>
      <w:r>
        <w:rPr/>
        <w:t xml:space="preserve">on July 26, 1999, </w:t>
      </w:r>
      <w:r>
        <w:rPr>
          <w:rStyle w:val="FootnoteCharacters"/>
          <w:position w:val="0"/>
          <w:sz w:val="24"/>
          <w:vertAlign w:val="baseline"/>
        </w:rPr>
        <w:t>in compliance with</w:t>
      </w:r>
      <w:r>
        <w:rPr/>
        <w:t xml:space="preserve"> the Commission's order in</w:t>
      </w:r>
      <w:r>
        <w:rPr>
          <w:rStyle w:val="FootnoteCharacters"/>
          <w:position w:val="0"/>
          <w:sz w:val="24"/>
          <w:vertAlign w:val="baseline"/>
        </w:rPr>
        <w:t xml:space="preserve"> </w:t>
      </w:r>
      <w:r>
        <w:rPr>
          <w:rStyle w:val="FootnoteCharacters"/>
          <w:i/>
          <w:position w:val="0"/>
          <w:sz w:val="24"/>
          <w:vertAlign w:val="baseline"/>
        </w:rPr>
        <w:t>Central Hudson Gas &amp; Electric Corp., et al</w:t>
      </w:r>
      <w:r>
        <w:rPr>
          <w:rStyle w:val="FootnoteCharacters"/>
          <w:position w:val="0"/>
          <w:sz w:val="24"/>
          <w:vertAlign w:val="baseline"/>
        </w:rPr>
        <w:t>., 86 FERC ¶ 61,062 (1999).  On August 23, 1999, the NYISO filed</w:t>
      </w:r>
      <w:r>
        <w:rPr>
          <w:rStyle w:val="FootnoteCharacters"/>
        </w:rPr>
        <w:t xml:space="preserve"> </w:t>
      </w:r>
      <w:r>
        <w:rPr>
          <w:rStyle w:val="FootnoteCharacters"/>
          <w:position w:val="0"/>
          <w:sz w:val="24"/>
          <w:vertAlign w:val="baseline"/>
        </w:rPr>
        <w:t>Addendum A (which specified the NYISO's market mitigation measures) and Addendum B (which listed the data that the NYISO may request from market</w:t>
      </w:r>
      <w:r>
        <w:rPr>
          <w:rStyle w:val="FootnoteCharacters"/>
        </w:rPr>
        <w:t xml:space="preserve"> </w:t>
      </w:r>
      <w:r>
        <w:rPr>
          <w:rStyle w:val="FootnoteCharacters"/>
          <w:position w:val="0"/>
          <w:sz w:val="24"/>
          <w:vertAlign w:val="baseline"/>
        </w:rPr>
        <w:t xml:space="preserve">parties) to its pending MMP.   On November 23, 1999, the Commission issued an order accepting in part the proposed MMP and directing the NYISO to make certain changes to its proposed market monitoring procedures.  </w:t>
      </w:r>
      <w:r>
        <w:rPr>
          <w:rStyle w:val="FootnoteCharacters"/>
          <w:i/>
          <w:position w:val="0"/>
          <w:sz w:val="24"/>
          <w:vertAlign w:val="baseline"/>
        </w:rPr>
        <w:t>New York Independent System Operator, Inc. et al.,</w:t>
      </w:r>
      <w:r>
        <w:rPr>
          <w:rStyle w:val="FootnoteCharacters"/>
          <w:position w:val="0"/>
          <w:sz w:val="24"/>
          <w:vertAlign w:val="baseline"/>
        </w:rPr>
        <w:t xml:space="preserve"> 89 FERC ¶ 61,196 (1999).  Specifically, the Commission determined that the market mitigation procedures</w:t>
      </w:r>
      <w:r>
        <w:rPr/>
        <w:t>,</w:t>
      </w:r>
      <w:r>
        <w:rPr>
          <w:rStyle w:val="FootnoteCharacters"/>
          <w:position w:val="0"/>
          <w:sz w:val="24"/>
          <w:vertAlign w:val="baseline"/>
        </w:rPr>
        <w:t xml:space="preserve"> as proposed by the NYISO in Addendum A</w:t>
      </w:r>
      <w:r>
        <w:rPr/>
        <w:t>,</w:t>
      </w:r>
      <w:r>
        <w:rPr>
          <w:rStyle w:val="FootnoteCharacters"/>
          <w:position w:val="0"/>
          <w:sz w:val="24"/>
          <w:vertAlign w:val="baseline"/>
        </w:rPr>
        <w:t xml:space="preserve"> gave "too much discretion to the [NY]ISO in price-setting and other similar regulatory functions without Commission review."  </w:t>
      </w:r>
      <w:r>
        <w:rPr>
          <w:rStyle w:val="FootnoteCharacters"/>
          <w:i/>
          <w:position w:val="0"/>
          <w:sz w:val="24"/>
          <w:vertAlign w:val="baseline"/>
        </w:rPr>
        <w:t xml:space="preserve">Id. </w:t>
      </w:r>
      <w:r>
        <w:rPr>
          <w:rStyle w:val="FootnoteCharacters"/>
          <w:position w:val="0"/>
          <w:sz w:val="24"/>
          <w:vertAlign w:val="baseline"/>
        </w:rPr>
        <w:t>at 61,065.  On December 23, 1999, the NYISO filed a revised Addendum A that specified the types of conduct that would trigger mitigation and the mitigation measures that would apply to such conduct</w:t>
      </w:r>
      <w:r>
        <w:rPr/>
        <w:t xml:space="preserve"> (the "December 23 Filing")</w:t>
      </w:r>
      <w:r>
        <w:rPr>
          <w:rStyle w:val="FootnoteCharacters"/>
          <w:position w:val="0"/>
          <w:sz w:val="24"/>
          <w:vertAlign w:val="baseline"/>
        </w:rPr>
        <w:t xml:space="preserve">.  In </w:t>
      </w:r>
      <w:r>
        <w:rPr>
          <w:rStyle w:val="FootnoteCharacters"/>
          <w:i/>
          <w:position w:val="0"/>
          <w:sz w:val="24"/>
          <w:vertAlign w:val="baseline"/>
        </w:rPr>
        <w:t>New York Independent System Operator, Inc.,</w:t>
      </w:r>
      <w:r>
        <w:rPr>
          <w:rStyle w:val="FootnoteCharacters"/>
          <w:position w:val="0"/>
          <w:sz w:val="24"/>
          <w:vertAlign w:val="baseline"/>
        </w:rPr>
        <w:t xml:space="preserve"> 90 FERC ¶ 61,317 (2000) (the "March 29 Order"), the Commission accepted the NYISO's market mitigation proposal </w:t>
      </w:r>
      <w:r>
        <w:rPr/>
        <w:t xml:space="preserve">as set out </w:t>
      </w:r>
      <w:r>
        <w:rPr>
          <w:rStyle w:val="FootnoteCharacters"/>
          <w:position w:val="0"/>
          <w:sz w:val="24"/>
          <w:vertAlign w:val="baseline"/>
        </w:rPr>
        <w:t>in the revised Addendum A, but rejected the NYISO's attempt to keep the thresholds for mitigation confidential.  On April 18, 2001, the NYISO made a compliance filing publicly defining the thresholds for imposing market mitigation under the MMP.</w:t>
      </w:r>
    </w:p>
  </w:footnote>
  <w:footnote w:id="12">
    <w:p>
      <w:pPr>
        <w:pStyle w:val="FootnoteText"/>
        <w:spacing w:before="0" w:after="240"/>
        <w:rPr/>
      </w:pPr>
      <w:r>
        <w:rPr>
          <w:rStyle w:val="FootnoteCharacters"/>
        </w:rPr>
        <w:footnoteRef/>
      </w:r>
      <w:r>
        <w:rPr>
          <w:rStyle w:val="FootnoteCharacters"/>
        </w:rPr>
        <w:t xml:space="preserve"> </w:t>
      </w:r>
      <w:r>
        <w:rPr>
          <w:rStyle w:val="FootnoteCharacters"/>
        </w:rPr>
        <w:tab/>
      </w:r>
      <w:r>
        <w:rPr>
          <w:rStyle w:val="FootnoteCharacters"/>
          <w:position w:val="0"/>
          <w:sz w:val="24"/>
          <w:vertAlign w:val="baseline"/>
        </w:rPr>
        <w:t>MMP, Addendum A, Sections 3.1 and  3.2.</w:t>
      </w:r>
    </w:p>
  </w:footnote>
  <w:footnote w:id="13">
    <w:p>
      <w:pPr>
        <w:pStyle w:val="FootnoteText"/>
        <w:spacing w:before="0" w:after="240"/>
        <w:rPr/>
      </w:pPr>
      <w:r>
        <w:rPr>
          <w:rStyle w:val="FootnoteCharacters"/>
        </w:rPr>
        <w:footnoteRef/>
      </w:r>
      <w:r>
        <w:rPr>
          <w:rStyle w:val="FootnoteCharacters"/>
        </w:rPr>
        <w:t xml:space="preserve"> </w:t>
      </w:r>
      <w:r>
        <w:rPr>
          <w:rStyle w:val="FootnoteCharacters"/>
        </w:rPr>
        <w:tab/>
      </w:r>
      <w:r>
        <w:rPr>
          <w:rStyle w:val="FootnoteCharacters"/>
          <w:position w:val="0"/>
          <w:sz w:val="24"/>
          <w:vertAlign w:val="baseline"/>
        </w:rPr>
        <w:t>MMP, Addendum A, Section 3.3.</w:t>
      </w:r>
    </w:p>
  </w:footnote>
  <w:footnote w:id="14">
    <w:p>
      <w:pPr>
        <w:pStyle w:val="FootnoteText"/>
        <w:spacing w:before="0" w:after="240"/>
        <w:rPr/>
      </w:pPr>
      <w:r>
        <w:rPr>
          <w:rStyle w:val="FootnoteCharacters"/>
        </w:rPr>
        <w:footnoteRef/>
      </w:r>
      <w:r>
        <w:rPr>
          <w:rStyle w:val="FootnoteCharacters"/>
        </w:rPr>
        <w:t xml:space="preserve"> </w:t>
      </w:r>
      <w:r>
        <w:rPr>
          <w:rStyle w:val="FootnoteCharacters"/>
        </w:rPr>
        <w:tab/>
      </w:r>
      <w:r>
        <w:rPr>
          <w:rStyle w:val="FootnoteCharacters"/>
          <w:i/>
          <w:position w:val="0"/>
          <w:sz w:val="24"/>
          <w:vertAlign w:val="baseline"/>
        </w:rPr>
        <w:t>See New York Independent System Operator, Inc</w:t>
      </w:r>
      <w:r>
        <w:rPr>
          <w:rStyle w:val="FootnoteCharacters"/>
          <w:position w:val="0"/>
          <w:sz w:val="24"/>
          <w:vertAlign w:val="baseline"/>
        </w:rPr>
        <w:t xml:space="preserve">., 90 FERC ¶ 61,317 at 62,055 (2000) (ordering the NYISO to "file a further revised mitigation plan to clarify that mitigation for market power is prospective only.  We do not intend for mitigation to entail any retroactive recalculation of market-clearing prices.")  </w:t>
      </w:r>
      <w:r>
        <w:rPr>
          <w:rStyle w:val="FootnoteCharacters"/>
          <w:i/>
          <w:position w:val="0"/>
          <w:sz w:val="24"/>
          <w:vertAlign w:val="baseline"/>
        </w:rPr>
        <w:t>See also San Diego Gas &amp; Electric Co.,</w:t>
      </w:r>
      <w:r>
        <w:rPr>
          <w:rStyle w:val="FootnoteCharacters"/>
          <w:position w:val="0"/>
          <w:sz w:val="24"/>
          <w:vertAlign w:val="baseline"/>
        </w:rPr>
        <w:t xml:space="preserve"> 93 FERC ¶ 61,121 (2000) ("The precedents on the rule against retroactive ratemaking provide that, except in limited circumstances . . . , the Commission does not have authority to order retroactive rate charges.")</w:t>
      </w:r>
    </w:p>
  </w:footnote>
  <w:footnote w:id="15">
    <w:p>
      <w:pPr>
        <w:pStyle w:val="FootnoteText"/>
        <w:spacing w:before="120" w:after="240"/>
        <w:ind w:hanging="720" w:start="720" w:end="0"/>
        <w:rPr/>
      </w:pPr>
      <w:r>
        <w:rPr>
          <w:rStyle w:val="FootnoteCharacters"/>
        </w:rPr>
        <w:footnoteRef/>
      </w:r>
      <w:r>
        <w:rPr/>
        <w:t xml:space="preserve"> </w:t>
      </w:r>
      <w:r>
        <w:rPr/>
        <w:tab/>
        <w:t xml:space="preserve">The NYISO's proposed Modified Mitigation Procedures received only 41 percent of the votes at the BIC.  Under the NYISO Agreement, 58 percent is required for the BIC to approve a measure.  NYISO Agreement, § § 7.10 and 9.02.  </w:t>
      </w:r>
    </w:p>
  </w:footnote>
  <w:footnote w:id="16">
    <w:p>
      <w:pPr>
        <w:pStyle w:val="FootnoteText"/>
        <w:spacing w:before="0" w:after="240"/>
        <w:rPr/>
      </w:pPr>
      <w:r>
        <w:rPr>
          <w:rStyle w:val="FootnoteCharacters"/>
        </w:rPr>
        <w:footnoteRef/>
      </w:r>
      <w:r>
        <w:rPr/>
        <w:t xml:space="preserve"> </w:t>
      </w:r>
      <w:r>
        <w:rPr/>
        <w:tab/>
        <w:t>Notice Filing at 2 ("Rather than implementing new market mitigation rules, the NYISO has, instead, elected to automate certain market mitigation measures that were previously approved by the Commission and are currently in effect pursuant to the NYISO's [MMP]."); and Initial Comments at 34 (the NYISO expects to implement the Modified Mitigation Procedures "using its existing authority under the market power mitigation plan.").</w:t>
      </w:r>
    </w:p>
  </w:footnote>
  <w:footnote w:id="17">
    <w:p>
      <w:pPr>
        <w:pStyle w:val="FootnoteText"/>
        <w:spacing w:before="0" w:after="240"/>
        <w:rPr/>
      </w:pPr>
      <w:r>
        <w:rPr>
          <w:rStyle w:val="FootnoteCharacters"/>
        </w:rPr>
        <w:footnoteRef/>
      </w:r>
      <w:r>
        <w:rPr>
          <w:rStyle w:val="FootnoteCharacters"/>
        </w:rPr>
        <w:t xml:space="preserve"> </w:t>
      </w:r>
      <w:r>
        <w:rPr>
          <w:rStyle w:val="FootnoteCharacters"/>
        </w:rPr>
        <w:tab/>
      </w:r>
      <w:r>
        <w:rPr>
          <w:rStyle w:val="FootnoteCharacters"/>
          <w:position w:val="0"/>
          <w:sz w:val="24"/>
          <w:vertAlign w:val="baseline"/>
        </w:rPr>
        <w:t>MMP, Addendum A, Section 3.3</w:t>
      </w:r>
      <w:r>
        <w:rPr>
          <w:rStyle w:val="FootnoteCharacters"/>
        </w:rPr>
        <w:t>.</w:t>
      </w:r>
    </w:p>
  </w:footnote>
  <w:footnote w:id="18">
    <w:p>
      <w:pPr>
        <w:pStyle w:val="FootnoteText"/>
        <w:spacing w:before="0" w:after="240"/>
        <w:rPr/>
      </w:pPr>
      <w:r>
        <w:rPr>
          <w:rStyle w:val="FootnoteCharacters"/>
        </w:rPr>
        <w:footnoteRef/>
      </w:r>
      <w:r>
        <w:rPr>
          <w:rStyle w:val="FootnoteCharacters"/>
        </w:rPr>
        <w:t xml:space="preserve"> </w:t>
      </w:r>
      <w:r>
        <w:rPr>
          <w:rStyle w:val="FootnoteCharacters"/>
        </w:rPr>
        <w:tab/>
      </w:r>
      <w:r>
        <w:rPr>
          <w:rStyle w:val="FootnoteCharacters"/>
          <w:position w:val="0"/>
          <w:sz w:val="24"/>
          <w:vertAlign w:val="baseline"/>
        </w:rPr>
        <w:t>December 23 Filing, at 9.</w:t>
      </w:r>
    </w:p>
  </w:footnote>
  <w:footnote w:id="19">
    <w:p>
      <w:pPr>
        <w:pStyle w:val="FootnoteText"/>
        <w:spacing w:before="0" w:after="240"/>
        <w:rPr/>
      </w:pPr>
      <w:r>
        <w:rPr>
          <w:rStyle w:val="FootnoteCharacters"/>
        </w:rPr>
        <w:footnoteRef/>
      </w:r>
      <w:r>
        <w:rPr>
          <w:rStyle w:val="FootnoteCharacters"/>
        </w:rPr>
        <w:t xml:space="preserve"> </w:t>
      </w:r>
      <w:r>
        <w:rPr>
          <w:rStyle w:val="FootnoteCharacters"/>
        </w:rPr>
        <w:tab/>
      </w:r>
      <w:r>
        <w:rPr>
          <w:rStyle w:val="FootnoteCharacters"/>
          <w:position w:val="0"/>
          <w:sz w:val="24"/>
          <w:vertAlign w:val="baseline"/>
        </w:rPr>
        <w:t>Circuit Breaker, Concept of Operations, issued by the NYISO, p. 1 (emphasis added).</w:t>
      </w:r>
    </w:p>
  </w:footnote>
  <w:footnote w:id="20">
    <w:p>
      <w:pPr>
        <w:pStyle w:val="FootnoteText"/>
        <w:spacing w:before="0" w:after="240"/>
        <w:rPr/>
      </w:pPr>
      <w:r>
        <w:rPr>
          <w:rStyle w:val="FootnoteCharacters"/>
        </w:rPr>
        <w:footnoteRef/>
      </w:r>
      <w:r>
        <w:rPr>
          <w:rStyle w:val="FootnoteCharacters"/>
        </w:rPr>
        <w:t xml:space="preserve"> </w:t>
      </w:r>
      <w:r>
        <w:rPr>
          <w:rStyle w:val="FootnoteCharacters"/>
        </w:rPr>
        <w:tab/>
      </w:r>
      <w:r>
        <w:rPr>
          <w:i/>
        </w:rPr>
        <w:t xml:space="preserve">See id. </w:t>
      </w:r>
      <w:r>
        <w:rPr/>
        <w:t xml:space="preserve">at 2.  </w:t>
      </w:r>
      <w:r>
        <w:rPr>
          <w:rStyle w:val="FootnoteCharacters"/>
          <w:position w:val="0"/>
          <w:sz w:val="24"/>
          <w:vertAlign w:val="baseline"/>
        </w:rPr>
        <w:t>It is unclear, however, how such uplift would operate.</w:t>
      </w:r>
    </w:p>
  </w:footnote>
  <w:footnote w:id="21">
    <w:p>
      <w:pPr>
        <w:pStyle w:val="FootnoteText"/>
        <w:spacing w:before="120" w:after="240"/>
        <w:ind w:hanging="720" w:start="720" w:end="0"/>
        <w:rPr/>
      </w:pPr>
      <w:r>
        <w:rPr>
          <w:rStyle w:val="FootnoteCharacters"/>
        </w:rPr>
        <w:footnoteRef/>
      </w:r>
      <w:r>
        <w:rPr/>
        <w:t xml:space="preserve"> </w:t>
      </w:r>
      <w:r>
        <w:rPr/>
        <w:tab/>
      </w:r>
      <w:r>
        <w:rPr>
          <w:lang w:eastAsia="en-US"/>
        </w:rPr>
        <w:t xml:space="preserve">Moreover, this new threshold does not take into account that increased prices may be the result of scarcity rather than the exercise of market power. </w:t>
      </w:r>
    </w:p>
  </w:footnote>
  <w:footnote w:id="22">
    <w:p>
      <w:pPr>
        <w:pStyle w:val="FootnoteText"/>
        <w:spacing w:before="0" w:after="240"/>
        <w:rPr/>
      </w:pPr>
      <w:r>
        <w:rPr>
          <w:rStyle w:val="FootnoteCharacters"/>
        </w:rPr>
        <w:footnoteRef/>
      </w:r>
      <w:r>
        <w:rPr>
          <w:rStyle w:val="FootnoteCharacters"/>
        </w:rPr>
        <w:t xml:space="preserve"> </w:t>
      </w:r>
      <w:r>
        <w:rPr>
          <w:rStyle w:val="FootnoteCharacters"/>
        </w:rPr>
        <w:tab/>
      </w:r>
      <w:r>
        <w:rPr>
          <w:rStyle w:val="FootnoteCharacters"/>
          <w:position w:val="0"/>
          <w:sz w:val="24"/>
          <w:vertAlign w:val="baseline"/>
        </w:rPr>
        <w:t xml:space="preserve">A proposed mitigation measure "shall, with the review and approval of the Board, and </w:t>
      </w:r>
      <w:r>
        <w:rPr>
          <w:rStyle w:val="FootnoteCharacters"/>
          <w:i/>
          <w:position w:val="0"/>
          <w:sz w:val="24"/>
          <w:vertAlign w:val="baseline"/>
        </w:rPr>
        <w:t>in accordance with the NYISO procedures applicable to tariff filings</w:t>
      </w:r>
      <w:r>
        <w:rPr>
          <w:rStyle w:val="FootnoteCharacters"/>
          <w:position w:val="0"/>
          <w:sz w:val="24"/>
          <w:vertAlign w:val="baseline"/>
        </w:rPr>
        <w:t>, be submitted by the NYISO to FERC for approval as an addendum to this Plan. . . .  A market power mitigation measure shall become effective and available for use by the NYISO as soon as practicable upon FERC approval."  MMP, Section 8.1 (emphasis added).</w:t>
      </w:r>
    </w:p>
  </w:footnote>
  <w:footnote w:id="23">
    <w:p>
      <w:pPr>
        <w:pStyle w:val="FootnoteText"/>
        <w:spacing w:before="0" w:after="240"/>
        <w:rPr/>
      </w:pPr>
      <w:r>
        <w:rPr>
          <w:rStyle w:val="FootnoteCharacters"/>
        </w:rPr>
        <w:footnoteRef/>
      </w:r>
      <w:r>
        <w:rPr>
          <w:rStyle w:val="FootnoteCharacters"/>
        </w:rPr>
        <w:t xml:space="preserve"> </w:t>
      </w:r>
      <w:r>
        <w:rPr>
          <w:rStyle w:val="FootnoteCharacters"/>
        </w:rPr>
        <w:tab/>
      </w:r>
      <w:r>
        <w:rPr>
          <w:rStyle w:val="FootnoteCharacters"/>
          <w:position w:val="0"/>
          <w:sz w:val="24"/>
          <w:vertAlign w:val="baseline"/>
        </w:rPr>
        <w:t>Any proposed amendment that is submitted by the Board unilaterally under Section 205 of the FPA expires 120 days after the date such amendment was filed, unless the Management Committee subsequently files with the Commission a concurrence of the proposed amendment within such 120 day period or unless the Commission approves the proposed amendment under the just and reasonable standard of Section 206 of the FPA.</w:t>
      </w:r>
    </w:p>
  </w:footnote>
  <w:footnote w:id="24">
    <w:p>
      <w:pPr>
        <w:pStyle w:val="FootnoteText"/>
        <w:spacing w:before="0" w:after="240"/>
        <w:rPr/>
      </w:pPr>
      <w:r>
        <w:rPr>
          <w:rStyle w:val="FootnoteCharacters"/>
        </w:rPr>
        <w:footnoteRef/>
      </w:r>
      <w:r>
        <w:rPr>
          <w:rStyle w:val="FootnoteCharacters"/>
        </w:rPr>
        <w:t xml:space="preserve"> </w:t>
      </w:r>
      <w:r>
        <w:rPr>
          <w:rStyle w:val="FootnoteCharacters"/>
        </w:rPr>
        <w:tab/>
      </w:r>
      <w:r>
        <w:rPr>
          <w:rStyle w:val="FootnoteCharacters"/>
          <w:position w:val="0"/>
          <w:sz w:val="24"/>
          <w:vertAlign w:val="baseline"/>
        </w:rPr>
        <w:t>Section 19.02 of the NYISO Agreement specifically preserves a party's rights to make Section 206 filings with the Commission.</w:t>
      </w:r>
    </w:p>
  </w:footnote>
  <w:footnote w:id="25">
    <w:p>
      <w:pPr>
        <w:pStyle w:val="FootnoteText"/>
        <w:spacing w:before="0" w:after="240"/>
        <w:rPr/>
      </w:pPr>
      <w:r>
        <w:rPr>
          <w:rStyle w:val="FootnoteCharacters"/>
        </w:rPr>
        <w:footnoteRef/>
      </w:r>
      <w:r>
        <w:rPr>
          <w:rStyle w:val="FootnoteCharacters"/>
        </w:rPr>
        <w:t xml:space="preserve"> </w:t>
      </w:r>
      <w:r>
        <w:rPr>
          <w:rStyle w:val="FootnoteCharacters"/>
        </w:rPr>
        <w:tab/>
      </w:r>
      <w:r>
        <w:rPr>
          <w:rStyle w:val="FootnoteCharacters"/>
          <w:i/>
          <w:position w:val="0"/>
          <w:sz w:val="24"/>
          <w:vertAlign w:val="baseline"/>
        </w:rPr>
        <w:t>New York Independent System Operator, Inc</w:t>
      </w:r>
      <w:r>
        <w:rPr>
          <w:rStyle w:val="FootnoteCharacters"/>
          <w:position w:val="0"/>
          <w:sz w:val="24"/>
          <w:vertAlign w:val="baseline"/>
        </w:rPr>
        <w:t>., 90 FERC at 62,055.</w:t>
      </w:r>
    </w:p>
  </w:footnote>
  <w:footnote w:id="26">
    <w:p>
      <w:pPr>
        <w:pStyle w:val="FootnoteText"/>
        <w:spacing w:before="0" w:after="240"/>
        <w:rPr/>
      </w:pPr>
      <w:r>
        <w:rPr>
          <w:rStyle w:val="FootnoteCharacters"/>
        </w:rPr>
        <w:footnoteRef/>
      </w:r>
      <w:r>
        <w:rPr>
          <w:rStyle w:val="FootnoteCharacters"/>
        </w:rPr>
        <w:t xml:space="preserve"> </w:t>
      </w:r>
      <w:r>
        <w:rPr>
          <w:rStyle w:val="FootnoteCharacters"/>
        </w:rPr>
        <w:tab/>
      </w:r>
      <w:r>
        <w:rPr>
          <w:i/>
        </w:rPr>
        <w:t xml:space="preserve">Atlantic City Electric Co., et al., </w:t>
      </w:r>
      <w:r>
        <w:rPr>
          <w:rStyle w:val="FootnoteCharacters"/>
          <w:position w:val="0"/>
          <w:sz w:val="24"/>
          <w:vertAlign w:val="baseline"/>
        </w:rPr>
        <w:t>91 FERC ¶ 61,063 (2000).</w:t>
      </w:r>
    </w:p>
  </w:footnote>
  <w:footnote w:id="27">
    <w:p>
      <w:pPr>
        <w:pStyle w:val="FootnoteText"/>
        <w:spacing w:before="120" w:after="240"/>
        <w:ind w:hanging="720" w:start="720" w:end="0"/>
        <w:rPr/>
      </w:pPr>
      <w:r>
        <w:rPr>
          <w:rStyle w:val="FootnoteCharacters"/>
        </w:rPr>
        <w:footnoteRef/>
      </w:r>
      <w:r>
        <w:rPr/>
        <w:t xml:space="preserve"> </w:t>
      </w:r>
      <w:r>
        <w:rPr/>
        <w:tab/>
      </w:r>
      <w:r>
        <w:rPr>
          <w:i/>
        </w:rPr>
        <w:t xml:space="preserve">Id. </w:t>
      </w:r>
      <w:r>
        <w:rPr/>
        <w:t>at 61,219.</w:t>
      </w:r>
    </w:p>
  </w:footnote>
  <w:footnote w:id="28">
    <w:p>
      <w:pPr>
        <w:pStyle w:val="FootnoteText"/>
        <w:spacing w:before="120" w:after="240"/>
        <w:ind w:hanging="720" w:start="720" w:end="0"/>
        <w:rPr/>
      </w:pPr>
      <w:r>
        <w:rPr>
          <w:rStyle w:val="FootnoteCharacters"/>
        </w:rPr>
        <w:footnoteRef/>
      </w:r>
      <w:r>
        <w:rPr/>
        <w:t xml:space="preserve"> </w:t>
      </w:r>
      <w:r>
        <w:rPr/>
        <w:tab/>
      </w:r>
      <w:r>
        <w:rPr>
          <w:i/>
        </w:rPr>
        <w:t xml:space="preserve">Id. </w:t>
      </w:r>
      <w:r>
        <w:rPr/>
        <w:t>at 61,220 ("Because PJM has not properly filed the requested revisions with the Commission, interested parties have not been afforded an opportunity to be heard on the merits of its proposed revisions.")</w:t>
      </w:r>
    </w:p>
  </w:footnote>
  <w:footnote w:id="29">
    <w:p>
      <w:pPr>
        <w:pStyle w:val="FootnoteText"/>
        <w:spacing w:before="0" w:after="240"/>
        <w:rPr/>
      </w:pPr>
      <w:r>
        <w:rPr>
          <w:rStyle w:val="FootnoteCharacters"/>
        </w:rPr>
        <w:footnoteRef/>
      </w:r>
      <w:r>
        <w:rPr/>
        <w:t xml:space="preserve"> </w:t>
      </w:r>
      <w:r>
        <w:rPr/>
        <w:tab/>
        <w:t>The Mirant Companies are filing this Complaint at this time because the NYISO only recently learned that the NYISO does not intend to file the New Mitigation Procedures with the Commission pursuant to Section 205 of 206.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lang w:val="en-CA"/>
      </w:rPr>
    </w:pPr>
    <w:r>
      <w:rPr>
        <w:lang w:val="en-CA"/>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lang w:val="en-CA"/>
      </w:rPr>
    </w:pPr>
    <w:r>
      <w:rPr>
        <w:lang w:val="en-CA"/>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smallCaps w:val="false"/>
        <w:caps w:val="false"/>
        <w:sz w:val="24"/>
        <w:i w:val="false"/>
        <w:u w:val="none"/>
        <w:b/>
        <w:rFonts w:ascii="Times New Roman" w:hAnsi="Times New Roman" w:cs="Times New Roman"/>
      </w:rPr>
    </w:lvl>
    <w:lvl w:ilvl="1">
      <w:start w:val="1"/>
      <w:pStyle w:val="Heading2"/>
      <w:numFmt w:val="upperLetter"/>
      <w:lvlText w:val="%2."/>
      <w:lvlJc w:val="start"/>
      <w:pPr>
        <w:tabs>
          <w:tab w:val="num" w:pos="1440"/>
        </w:tabs>
        <w:ind w:start="1440" w:hanging="720"/>
      </w:pPr>
      <w:rPr>
        <w:smallCaps w:val="false"/>
        <w:caps w:val="false"/>
        <w:sz w:val="24"/>
        <w:i w:val="false"/>
        <w:u w:val="none"/>
        <w:b/>
        <w:rFonts w:ascii="Times New Roman" w:hAnsi="Times New Roman" w:cs="Times New Roman"/>
      </w:rPr>
    </w:lvl>
    <w:lvl w:ilvl="2">
      <w:start w:val="1"/>
      <w:pStyle w:val="Heading3"/>
      <w:numFmt w:val="decimal"/>
      <w:lvlText w:val="%3."/>
      <w:lvlJc w:val="start"/>
      <w:pPr>
        <w:tabs>
          <w:tab w:val="num" w:pos="2160"/>
        </w:tabs>
        <w:ind w:start="2160" w:hanging="720"/>
      </w:pPr>
      <w:rPr>
        <w:smallCaps w:val="false"/>
        <w:caps w:val="false"/>
        <w:sz w:val="24"/>
        <w:i w:val="false"/>
        <w:u w:val="none"/>
        <w:b/>
        <w:rFonts w:ascii="Times New Roman" w:hAnsi="Times New Roman" w:cs="Times New Roman"/>
      </w:rPr>
    </w:lvl>
    <w:lvl w:ilvl="3">
      <w:start w:val="1"/>
      <w:pStyle w:val="Heading4"/>
      <w:numFmt w:val="lowerLetter"/>
      <w:lvlText w:val="%4."/>
      <w:lvlJc w:val="start"/>
      <w:pPr>
        <w:tabs>
          <w:tab w:val="num" w:pos="2880"/>
        </w:tabs>
        <w:ind w:start="2880" w:hanging="720"/>
      </w:pPr>
      <w:rPr>
        <w:smallCaps w:val="false"/>
        <w:caps w:val="false"/>
        <w:sz w:val="24"/>
        <w:i w:val="false"/>
        <w:u w:val="none"/>
        <w:b/>
        <w:rFonts w:ascii="Times New Roman" w:hAnsi="Times New Roman" w:cs="Times New Roman"/>
      </w:rPr>
    </w:lvl>
    <w:lvl w:ilvl="4">
      <w:start w:val="1"/>
      <w:pStyle w:val="Heading5"/>
      <w:numFmt w:val="lowerRoman"/>
      <w:lvlText w:val="(%5)"/>
      <w:lvlJc w:val="start"/>
      <w:pPr>
        <w:tabs>
          <w:tab w:val="num" w:pos="3600"/>
        </w:tabs>
        <w:ind w:start="0" w:firstLine="2880"/>
      </w:pPr>
      <w:rPr>
        <w:smallCaps w:val="false"/>
        <w:caps w:val="false"/>
        <w:sz w:val="24"/>
        <w:i w:val="false"/>
        <w:u w:val="none"/>
        <w:b w:val="false"/>
        <w:rFonts w:ascii="Times New Roman" w:hAnsi="Times New Roman" w:cs="Times New Roman"/>
      </w:rPr>
    </w:lvl>
    <w:lvl w:ilvl="5">
      <w:start w:val="1"/>
      <w:pStyle w:val="Heading6"/>
      <w:numFmt w:val="lowerLetter"/>
      <w:lvlText w:val="(%6)"/>
      <w:lvlJc w:val="start"/>
      <w:pPr>
        <w:tabs>
          <w:tab w:val="num" w:pos="4320"/>
        </w:tabs>
        <w:ind w:start="0" w:firstLine="3600"/>
      </w:pPr>
      <w:rPr>
        <w:smallCaps w:val="false"/>
        <w:caps w:val="false"/>
        <w:sz w:val="24"/>
        <w:i w:val="false"/>
        <w:u w:val="none"/>
        <w:b w:val="false"/>
        <w:rFonts w:ascii="Times New Roman" w:hAnsi="Times New Roman" w:cs="Times New Roman"/>
      </w:rPr>
    </w:lvl>
    <w:lvl w:ilvl="6">
      <w:start w:val="1"/>
      <w:pStyle w:val="Heading7"/>
      <w:numFmt w:val="decimal"/>
      <w:lvlText w:val="(%7)"/>
      <w:lvlJc w:val="start"/>
      <w:pPr>
        <w:tabs>
          <w:tab w:val="num" w:pos="5040"/>
        </w:tabs>
        <w:ind w:start="0" w:firstLine="4320"/>
      </w:pPr>
      <w:rPr>
        <w:smallCaps w:val="false"/>
        <w:caps w:val="false"/>
        <w:sz w:val="24"/>
        <w:i w:val="false"/>
        <w:u w:val="none"/>
        <w:b w:val="false"/>
        <w:rFonts w:ascii="Times New Roman" w:hAnsi="Times New Roman" w:cs="Times New Roman"/>
      </w:rPr>
    </w:lvl>
    <w:lvl w:ilvl="7">
      <w:start w:val="1"/>
      <w:pStyle w:val="Heading8"/>
      <w:numFmt w:val="decimal"/>
      <w:lvlText w:val="%8."/>
      <w:lvlJc w:val="start"/>
      <w:pPr>
        <w:tabs>
          <w:tab w:val="num" w:pos="2160"/>
        </w:tabs>
        <w:ind w:start="0" w:firstLine="1440"/>
      </w:pPr>
      <w:rPr>
        <w:smallCaps w:val="false"/>
        <w:caps w:val="false"/>
        <w:sz w:val="24"/>
        <w:i w:val="false"/>
        <w:u w:val="none"/>
        <w:b w:val="false"/>
        <w:rFonts w:ascii="Times New Roman" w:hAnsi="Times New Roman" w:cs="Times New Roman"/>
      </w:rPr>
    </w:lvl>
    <w:lvl w:ilvl="8">
      <w:start w:val="1"/>
      <w:pStyle w:val="Heading9"/>
      <w:numFmt w:val="lowerLetter"/>
      <w:lvlText w:val="(%9)"/>
      <w:lvlJc w:val="start"/>
      <w:pPr>
        <w:tabs>
          <w:tab w:val="num" w:pos="6480"/>
        </w:tabs>
        <w:ind w:start="0" w:firstLine="5760"/>
      </w:pPr>
      <w:rPr>
        <w:smallCaps w:val="false"/>
        <w:caps w:val="false"/>
        <w:sz w:val="24"/>
        <w:i w:val="false"/>
        <w:u w:val="none"/>
        <w:b w:val="false"/>
        <w:rFonts w:ascii="Times New Roman" w:hAnsi="Times New Roman" w:cs="Times New Roman"/>
      </w:r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docVars>
    <w:docVar w:name="CheckedForWebBugs" w:val="True"/>
    <w:docVar w:name="HNLevel1" w:val="1:                  N1OI.         &lt;tab&gt; 05 -5 ABius"/>
    <w:docVar w:name="HNLevel2" w:val="2:                  N2OA.         &lt;tab&gt; 10 -5 aBius"/>
    <w:docVar w:name="HNLevel3" w:val="3:                  N3O1.         &lt;tab&gt; 15 -5 aBius"/>
    <w:docVar w:name="HNLevel4" w:val="4:                  N4Oa.         &lt;tab&gt; 20 -5 aBius"/>
    <w:docVar w:name="HNLevel5" w:val="5:                 (N5Oi)         &lt;tab&gt; 00 20 abius"/>
    <w:docVar w:name="HNLevel6" w:val="6:                 (N6Oa)         &lt;tab&gt; 00 25 abius"/>
    <w:docVar w:name="HNLevel7" w:val="7:                 (N7O1)         &lt;tab&gt; 00 30 abius"/>
    <w:docVar w:name="HNLevel8" w:val="8:                  N8O1.         &lt;tab&gt; 00 10 abius"/>
    <w:docVar w:name="HNLevel9" w:val="9:                 (N9Oa)         &lt;tab&gt; 00 40 abius"/>
    <w:docVar w:name="SetLevelCalledFrom" w:val="CommandBar Button"/>
    <w:docVar w:name="SetLevelGallerySelect" w:val="Done"/>
    <w:docVar w:name="trailer" w:val="none"/>
    <w:docVar w:name="TrailerFullName" w:val="C:\My Documents\mirant complaint.doc"/>
    <w:docVar w:name="TrlrDateFlag" w:val="0"/>
    <w:docVar w:name="TrlrDOSFlag" w:val="0"/>
    <w:docVar w:name="TrlrDraftFlag" w:val="0"/>
    <w:docVar w:name="TrlrMatter" w:val="031132-0000"/>
    <w:docVar w:name="TrlrMatterFlag" w:val="0"/>
    <w:docVar w:name="TrlrRedlineFlag" w:val="0"/>
    <w:docVar w:name="TrlrTimeFlag" w:val="0"/>
    <w:docVar w:name="TrlrTypeFlag" w:val="2"/>
    <w:docVar w:name="WPClean" w:val="Ye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BodyText"/>
    <w:qFormat/>
    <w:pPr>
      <w:keepNext w:val="true"/>
      <w:keepLines/>
      <w:numPr>
        <w:ilvl w:val="0"/>
        <w:numId w:val="1"/>
      </w:numPr>
      <w:outlineLvl w:val="0"/>
    </w:pPr>
    <w:rPr>
      <w:b/>
      <w:caps/>
      <w:sz w:val="24"/>
    </w:rPr>
  </w:style>
  <w:style w:type="paragraph" w:styleId="Heading2">
    <w:name w:val="heading 2"/>
    <w:basedOn w:val="Normal"/>
    <w:next w:val="BodyText"/>
    <w:qFormat/>
    <w:pPr>
      <w:keepLines/>
      <w:numPr>
        <w:ilvl w:val="1"/>
        <w:numId w:val="1"/>
      </w:numPr>
      <w:outlineLvl w:val="1"/>
    </w:pPr>
    <w:rPr>
      <w:b/>
      <w:sz w:val="24"/>
    </w:rPr>
  </w:style>
  <w:style w:type="paragraph" w:styleId="Heading3">
    <w:name w:val="heading 3"/>
    <w:basedOn w:val="Normal"/>
    <w:next w:val="BodyText"/>
    <w:qFormat/>
    <w:pPr>
      <w:keepLines/>
      <w:numPr>
        <w:ilvl w:val="2"/>
        <w:numId w:val="1"/>
      </w:numPr>
      <w:outlineLvl w:val="2"/>
    </w:pPr>
    <w:rPr>
      <w:b/>
      <w:sz w:val="24"/>
    </w:rPr>
  </w:style>
  <w:style w:type="paragraph" w:styleId="Heading4">
    <w:name w:val="heading 4"/>
    <w:basedOn w:val="Normal"/>
    <w:next w:val="BodyText"/>
    <w:qFormat/>
    <w:pPr>
      <w:keepLines/>
      <w:numPr>
        <w:ilvl w:val="3"/>
        <w:numId w:val="1"/>
      </w:numPr>
      <w:outlineLvl w:val="3"/>
    </w:pPr>
    <w:rPr>
      <w:b/>
      <w:sz w:val="24"/>
    </w:rPr>
  </w:style>
  <w:style w:type="paragraph" w:styleId="Heading5">
    <w:name w:val="heading 5"/>
    <w:basedOn w:val="Normal"/>
    <w:next w:val="BodyText"/>
    <w:qFormat/>
    <w:pPr>
      <w:numPr>
        <w:ilvl w:val="4"/>
        <w:numId w:val="1"/>
      </w:numPr>
      <w:outlineLvl w:val="4"/>
    </w:pPr>
    <w:rPr>
      <w:sz w:val="24"/>
    </w:rPr>
  </w:style>
  <w:style w:type="paragraph" w:styleId="Heading6">
    <w:name w:val="heading 6"/>
    <w:basedOn w:val="Normal"/>
    <w:next w:val="BodyText"/>
    <w:qFormat/>
    <w:pPr>
      <w:numPr>
        <w:ilvl w:val="5"/>
        <w:numId w:val="1"/>
      </w:numPr>
      <w:outlineLvl w:val="5"/>
    </w:pPr>
    <w:rPr>
      <w:sz w:val="24"/>
    </w:rPr>
  </w:style>
  <w:style w:type="paragraph" w:styleId="Heading7">
    <w:name w:val="heading 7"/>
    <w:basedOn w:val="Normal"/>
    <w:next w:val="BodyText"/>
    <w:qFormat/>
    <w:pPr>
      <w:numPr>
        <w:ilvl w:val="6"/>
        <w:numId w:val="1"/>
      </w:numPr>
      <w:outlineLvl w:val="6"/>
    </w:pPr>
    <w:rPr>
      <w:sz w:val="24"/>
    </w:rPr>
  </w:style>
  <w:style w:type="paragraph" w:styleId="Heading8">
    <w:name w:val="heading 8"/>
    <w:basedOn w:val="Normal"/>
    <w:next w:val="BodyText"/>
    <w:qFormat/>
    <w:pPr>
      <w:numPr>
        <w:ilvl w:val="7"/>
        <w:numId w:val="1"/>
      </w:numPr>
      <w:outlineLvl w:val="7"/>
    </w:pPr>
    <w:rPr>
      <w:sz w:val="24"/>
    </w:rPr>
  </w:style>
  <w:style w:type="paragraph" w:styleId="Heading9">
    <w:name w:val="heading 9"/>
    <w:basedOn w:val="Normal"/>
    <w:next w:val="BodyText"/>
    <w:qFormat/>
    <w:pPr>
      <w:numPr>
        <w:ilvl w:val="8"/>
        <w:numId w:val="1"/>
      </w:numPr>
      <w:outlineLvl w:val="8"/>
    </w:pPr>
    <w:rPr>
      <w:sz w:val="24"/>
    </w:rPr>
  </w:style>
  <w:style w:type="character" w:styleId="WW8Num1z0">
    <w:name w:val="WW8Num1z0"/>
    <w:qFormat/>
    <w:rPr>
      <w:rFonts w:ascii="Times New Roman" w:hAnsi="Times New Roman" w:cs="Times New Roman"/>
      <w:b/>
      <w:i w:val="false"/>
      <w:caps w:val="false"/>
      <w:smallCaps w:val="false"/>
      <w:sz w:val="24"/>
      <w:u w:val="none"/>
    </w:rPr>
  </w:style>
  <w:style w:type="character" w:styleId="WW8Num1z4">
    <w:name w:val="WW8Num1z4"/>
    <w:qFormat/>
    <w:rPr>
      <w:rFonts w:ascii="Times New Roman" w:hAnsi="Times New Roman" w:cs="Times New Roman"/>
      <w:b w:val="false"/>
      <w:i w:val="false"/>
      <w:caps w:val="false"/>
      <w:smallCaps w:val="false"/>
      <w:sz w:val="24"/>
      <w:u w:val="non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before="0" w:after="0"/>
      <w:ind w:firstLine="144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Indent">
    <w:name w:val="Body Text Indent"/>
    <w:basedOn w:val="Normal"/>
    <w:next w:val="BodyText"/>
    <w:pPr>
      <w:ind w:hanging="0" w:start="1440" w:end="720"/>
    </w:pPr>
    <w:rPr>
      <w:sz w:val="24"/>
    </w:rPr>
  </w:style>
  <w:style w:type="paragraph" w:styleId="Quote">
    <w:name w:val="Quote"/>
    <w:basedOn w:val="Normal"/>
    <w:next w:val="BodyTextContinued"/>
    <w:qFormat/>
    <w:pPr>
      <w:ind w:hanging="0" w:start="1440" w:end="1440"/>
    </w:pPr>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jc w:val="center"/>
    </w:pPr>
    <w:rPr>
      <w:b/>
      <w:smallCaps/>
    </w:rPr>
  </w:style>
  <w:style w:type="paragraph" w:styleId="FootnoteText">
    <w:name w:val="footnote text"/>
    <w:basedOn w:val="Normal"/>
    <w:pPr>
      <w:spacing w:before="120" w:after="240"/>
      <w:ind w:hanging="720" w:start="720" w:end="0"/>
    </w:pPr>
    <w:rPr>
      <w:sz w:val="24"/>
    </w:rPr>
  </w:style>
  <w:style w:type="paragraph" w:styleId="ReLine">
    <w:name w:val="ReLine"/>
    <w:basedOn w:val="Normal"/>
    <w:next w:val="Normal"/>
    <w:qFormat/>
    <w:pPr>
      <w:ind w:hanging="720" w:start="2160" w:end="0"/>
    </w:pPr>
    <w:rPr/>
  </w:style>
  <w:style w:type="paragraph" w:styleId="Heading1Para">
    <w:name w:val="Heading1Para"/>
    <w:basedOn w:val="Normal"/>
    <w:next w:val="BodyText"/>
    <w:qFormat/>
    <w:pPr>
      <w:jc w:val="cente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tabs>
        <w:tab w:val="clear" w:pos="720"/>
        <w:tab w:val="left" w:pos="5040" w:leader="none"/>
        <w:tab w:val="right" w:pos="9360" w:leader="none"/>
      </w:tabs>
      <w:spacing w:lineRule="exact" w:line="240"/>
      <w:ind w:hanging="0" w:start="4680" w:end="0"/>
    </w:pPr>
    <w:rPr/>
  </w:style>
  <w:style w:type="paragraph" w:styleId="TOC1">
    <w:name w:val="toc 1"/>
    <w:basedOn w:val="Normal"/>
    <w:next w:val="BodyText"/>
    <w:pPr>
      <w:tabs>
        <w:tab w:val="clear" w:pos="720"/>
        <w:tab w:val="right" w:pos="9360" w:leader="dot"/>
      </w:tabs>
      <w:spacing w:before="120" w:after="120"/>
    </w:pPr>
    <w:rPr>
      <w:caps/>
      <w:sz w:val="24"/>
    </w:rPr>
  </w:style>
  <w:style w:type="paragraph" w:styleId="TOC2">
    <w:name w:val="toc 2"/>
    <w:basedOn w:val="Normal"/>
    <w:next w:val="BodyText"/>
    <w:pPr>
      <w:tabs>
        <w:tab w:val="clear" w:pos="720"/>
        <w:tab w:val="right" w:pos="9360" w:leader="dot"/>
      </w:tabs>
      <w:spacing w:before="0" w:after="0"/>
    </w:pPr>
    <w:rPr>
      <w:smallCaps/>
      <w:sz w:val="24"/>
    </w:rPr>
  </w:style>
  <w:style w:type="paragraph" w:styleId="TOC3">
    <w:name w:val="toc 3"/>
    <w:basedOn w:val="Normal"/>
    <w:next w:val="BodyText"/>
    <w:pPr>
      <w:tabs>
        <w:tab w:val="clear" w:pos="720"/>
        <w:tab w:val="right" w:pos="9360" w:leader="dot"/>
      </w:tabs>
      <w:spacing w:before="0" w:after="0"/>
      <w:ind w:hanging="0" w:start="220" w:end="0"/>
    </w:pPr>
    <w:rPr>
      <w:sz w:val="24"/>
    </w:rPr>
  </w:style>
  <w:style w:type="paragraph" w:styleId="TOC4">
    <w:name w:val="toc 4"/>
    <w:basedOn w:val="Normal"/>
    <w:next w:val="BodyText"/>
    <w:pPr>
      <w:tabs>
        <w:tab w:val="clear" w:pos="720"/>
        <w:tab w:val="right" w:pos="9360" w:leader="dot"/>
      </w:tabs>
      <w:spacing w:before="0" w:after="0"/>
      <w:ind w:hanging="0" w:start="440" w:end="0"/>
    </w:pPr>
    <w:rPr>
      <w:sz w:val="18"/>
    </w:rPr>
  </w:style>
  <w:style w:type="paragraph" w:styleId="TOC5">
    <w:name w:val="toc 5"/>
    <w:basedOn w:val="Normal"/>
    <w:next w:val="BodyText"/>
    <w:pPr>
      <w:tabs>
        <w:tab w:val="clear" w:pos="720"/>
        <w:tab w:val="right" w:pos="9360" w:leader="dot"/>
      </w:tabs>
      <w:spacing w:before="0" w:after="0"/>
      <w:ind w:hanging="0" w:start="660" w:end="0"/>
    </w:pPr>
    <w:rPr>
      <w:sz w:val="18"/>
    </w:rPr>
  </w:style>
  <w:style w:type="paragraph" w:styleId="TOC6">
    <w:name w:val="toc 6"/>
    <w:basedOn w:val="Normal"/>
    <w:next w:val="BodyText"/>
    <w:pPr>
      <w:tabs>
        <w:tab w:val="clear" w:pos="720"/>
        <w:tab w:val="right" w:pos="9360" w:leader="dot"/>
      </w:tabs>
      <w:spacing w:before="0" w:after="0"/>
      <w:ind w:hanging="0" w:start="880" w:end="0"/>
    </w:pPr>
    <w:rPr>
      <w:sz w:val="18"/>
    </w:rPr>
  </w:style>
  <w:style w:type="paragraph" w:styleId="TOC7">
    <w:name w:val="toc 7"/>
    <w:basedOn w:val="Normal"/>
    <w:next w:val="BodyText"/>
    <w:pPr>
      <w:tabs>
        <w:tab w:val="clear" w:pos="720"/>
        <w:tab w:val="right" w:pos="9360" w:leader="dot"/>
      </w:tabs>
      <w:spacing w:before="0" w:after="0"/>
      <w:ind w:hanging="0" w:start="1100" w:end="0"/>
    </w:pPr>
    <w:rPr>
      <w:sz w:val="18"/>
    </w:rPr>
  </w:style>
  <w:style w:type="paragraph" w:styleId="TOC8">
    <w:name w:val="toc 8"/>
    <w:basedOn w:val="Normal"/>
    <w:next w:val="BodyText"/>
    <w:pPr>
      <w:tabs>
        <w:tab w:val="clear" w:pos="720"/>
        <w:tab w:val="right" w:pos="9360" w:leader="dot"/>
      </w:tabs>
      <w:spacing w:before="0" w:after="0"/>
      <w:ind w:hanging="0" w:start="1320" w:end="0"/>
    </w:pPr>
    <w:rPr>
      <w:sz w:val="18"/>
    </w:rPr>
  </w:style>
  <w:style w:type="paragraph" w:styleId="TOC9">
    <w:name w:val="toc 9"/>
    <w:basedOn w:val="Normal"/>
    <w:next w:val="BodyText"/>
    <w:pPr>
      <w:tabs>
        <w:tab w:val="clear" w:pos="720"/>
        <w:tab w:val="right" w:pos="9360" w:leader="dot"/>
      </w:tabs>
      <w:spacing w:before="0" w:after="0"/>
      <w:ind w:hanging="0" w:start="1540" w:end="0"/>
    </w:pPr>
    <w:rPr>
      <w:sz w:val="18"/>
    </w:rPr>
  </w:style>
  <w:style w:type="paragraph" w:styleId="EnvelopeAddress">
    <w:name w:val="envelope address"/>
    <w:basedOn w:val="Normal"/>
    <w:pPr>
      <w:ind w:hanging="0" w:start="2880" w:end="0"/>
    </w:pPr>
    <w:rPr/>
  </w:style>
  <w:style w:type="paragraph" w:styleId="SDP">
    <w:name w:val="SDP"/>
    <w:basedOn w:val="Normal"/>
    <w:next w:val="Normal"/>
    <w:qFormat/>
    <w:pPr/>
    <w:rPr>
      <w:b/>
      <w:u w:val="single"/>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tabs>
        <w:tab w:val="clear" w:pos="720"/>
        <w:tab w:val="right" w:pos="8640" w:leader="dot"/>
      </w:tabs>
      <w:ind w:hanging="200" w:start="200" w:end="0"/>
    </w:pPr>
    <w:rPr/>
  </w:style>
  <w:style w:type="paragraph" w:styleId="TOAHeading">
    <w:name w:val="TOA Heading"/>
    <w:basedOn w:val="Normal"/>
    <w:next w:val="Normal"/>
    <w:qFormat/>
    <w:pPr>
      <w:spacing w:before="240" w:after="120"/>
    </w:pPr>
    <w:rPr>
      <w:b/>
      <w:caps/>
    </w:rPr>
  </w:style>
  <w:style w:type="paragraph" w:styleId="Heading2Para">
    <w:name w:val="Heading2Para"/>
    <w:basedOn w:val="Normal"/>
    <w:next w:val="BodyText"/>
    <w:qFormat/>
    <w:pPr>
      <w:ind w:firstLine="720" w:start="0" w:end="0"/>
    </w:pPr>
    <w:rPr/>
  </w:style>
  <w:style w:type="paragraph" w:styleId="Heading3Para">
    <w:name w:val="Heading3Para"/>
    <w:basedOn w:val="Normal"/>
    <w:next w:val="BodyText"/>
    <w:qFormat/>
    <w:pPr>
      <w:ind w:hanging="0" w:start="1440" w:end="0"/>
    </w:pPr>
    <w:rPr/>
  </w:style>
  <w:style w:type="paragraph" w:styleId="Heading4Para">
    <w:name w:val="Heading4Para"/>
    <w:basedOn w:val="Normal"/>
    <w:next w:val="BodyText"/>
    <w:qFormat/>
    <w:pPr>
      <w:ind w:hanging="0" w:start="2160" w:end="0"/>
    </w:pPr>
    <w:rPr/>
  </w:style>
  <w:style w:type="paragraph" w:styleId="Heading5Para">
    <w:name w:val="Heading5Para"/>
    <w:basedOn w:val="Normal"/>
    <w:next w:val="BodyText"/>
    <w:qFormat/>
    <w:pPr>
      <w:ind w:hanging="0" w:start="2880" w:end="0"/>
    </w:pPr>
    <w:rPr/>
  </w:style>
  <w:style w:type="paragraph" w:styleId="Heading6Para">
    <w:name w:val="Heading6Para"/>
    <w:basedOn w:val="Normal"/>
    <w:next w:val="BodyText"/>
    <w:qFormat/>
    <w:pPr>
      <w:ind w:hanging="0" w:start="3600" w:end="0"/>
    </w:pPr>
    <w:rPr/>
  </w:style>
  <w:style w:type="paragraph" w:styleId="Heading7Para">
    <w:name w:val="Heading7Para"/>
    <w:basedOn w:val="Normal"/>
    <w:next w:val="BodyText"/>
    <w:qFormat/>
    <w:pPr>
      <w:ind w:firstLine="1440" w:start="0" w:end="0"/>
    </w:pPr>
    <w:rPr/>
  </w:style>
  <w:style w:type="paragraph" w:styleId="Heading8Para">
    <w:name w:val="Heading8Para"/>
    <w:basedOn w:val="Normal"/>
    <w:next w:val="BodyText"/>
    <w:qFormat/>
    <w:pPr>
      <w:ind w:firstLine="720" w:start="1440" w:end="0"/>
    </w:pPr>
    <w:rPr/>
  </w:style>
  <w:style w:type="paragraph" w:styleId="Heading9Para">
    <w:name w:val="Heading9Para"/>
    <w:basedOn w:val="Normal"/>
    <w:next w:val="BodyText"/>
    <w:qFormat/>
    <w:pPr>
      <w:ind w:firstLine="720" w:start="2160" w:end="0"/>
    </w:pPr>
    <w:rPr/>
  </w:style>
  <w:style w:type="paragraph" w:styleId="Address">
    <w:name w:val="Address"/>
    <w:basedOn w:val="Normal"/>
    <w:qFormat/>
    <w:pPr>
      <w:spacing w:before="0" w:after="0"/>
    </w:pPr>
    <w:rPr>
      <w:sz w:val="24"/>
    </w:rPr>
  </w:style>
  <w:style w:type="paragraph" w:styleId="BodyTextIndent2">
    <w:name w:val="Body Text Indent 2"/>
    <w:basedOn w:val="Normal"/>
    <w:qFormat/>
    <w:pPr>
      <w:spacing w:before="0" w:after="0"/>
      <w:ind w:hanging="0" w:start="1440"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2001-03-16T19:36:00Z</dcterms:created>
  <dc:creator>JJOHNSON</dc:creator>
  <dc:description> *word*</dc:description>
  <dc:language>en-CA</dc:language>
  <cp:lastModifiedBy>Technology Department</cp:lastModifiedBy>
  <cp:lastPrinted>2001-03-16T14:43:00Z</cp:lastPrinted>
  <dcterms:modified xsi:type="dcterms:W3CDTF">2001-03-16T19:36:00Z</dcterms:modified>
  <cp:revision>3</cp:revision>
  <dc:subject/>
  <dc:title>#364039 v6 - gdc -- updated mirant complaint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Num(97/a) 06/23/1999 9:14:19 PM">
    <vt:lpwstr>&lt;Unspecified User-Defined&gt; by Jared Johnson</vt:lpwstr>
  </property>
</Properties>
</file>