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CORPORATE RESPONSIBILITY TASK FORCE</w:t>
      </w:r>
    </w:p>
    <w:p>
      <w:pPr>
        <w:pStyle w:val="Normal"/>
        <w:jc w:val="center"/>
        <w:rPr>
          <w:b/>
          <w:sz w:val="22"/>
        </w:rPr>
      </w:pPr>
      <w:r>
        <w:rPr>
          <w:b/>
          <w:sz w:val="24"/>
        </w:rPr>
        <w:t>External Accountability Subcommittee</w:t>
      </w:r>
    </w:p>
    <w:p>
      <w:pPr>
        <w:pStyle w:val="Normal"/>
        <w:jc w:val="center"/>
        <w:rPr>
          <w:b/>
          <w:sz w:val="22"/>
        </w:rPr>
      </w:pPr>
      <w:r>
        <w:rPr>
          <w:b/>
          <w:sz w:val="22"/>
        </w:rPr>
      </w:r>
    </w:p>
    <w:p>
      <w:pPr>
        <w:pStyle w:val="Normal"/>
        <w:jc w:val="center"/>
        <w:rPr>
          <w:b/>
          <w:sz w:val="22"/>
        </w:rPr>
      </w:pPr>
      <w:r>
        <w:rPr>
          <w:b/>
          <w:sz w:val="22"/>
        </w:rPr>
        <w:t>Minutes for March 13, 2001, 10:30 a.m. to 11:15 a.m.</w:t>
      </w:r>
    </w:p>
    <w:p>
      <w:pPr>
        <w:pStyle w:val="Heading3"/>
        <w:ind w:hanging="0" w:start="0"/>
        <w:jc w:val="start"/>
        <w:rPr>
          <w:b w:val="false"/>
          <w:sz w:val="22"/>
        </w:rPr>
      </w:pPr>
      <w:r>
        <w:rPr>
          <w:b w:val="false"/>
          <w:sz w:val="22"/>
        </w:rPr>
      </w:r>
    </w:p>
    <w:p>
      <w:pPr>
        <w:pStyle w:val="Normal"/>
        <w:rPr/>
      </w:pPr>
      <w:r>
        <w:rPr>
          <w:b/>
          <w:sz w:val="22"/>
        </w:rPr>
        <w:t>Attendance</w:t>
      </w:r>
      <w:r>
        <w:rPr>
          <w:sz w:val="22"/>
        </w:rPr>
        <w:t>: Steve Barth, Jean Mrha Beach, Steve Kean, Kelly Kimberly, Miguel Padron.</w:t>
      </w:r>
    </w:p>
    <w:p>
      <w:pPr>
        <w:pStyle w:val="BodyText"/>
        <w:rPr>
          <w:sz w:val="22"/>
        </w:rPr>
      </w:pPr>
      <w:r>
        <w:rPr>
          <w:sz w:val="22"/>
        </w:rPr>
        <w:t>Staff: Lauren Iannarone and Catherine McKalip-Thompson.</w:t>
      </w:r>
    </w:p>
    <w:p>
      <w:pPr>
        <w:pStyle w:val="Normal"/>
        <w:rPr/>
      </w:pPr>
      <w:r>
        <w:rPr>
          <w:b/>
          <w:sz w:val="22"/>
        </w:rPr>
        <w:t>Absent:</w:t>
      </w:r>
      <w:r>
        <w:rPr>
          <w:sz w:val="22"/>
        </w:rPr>
        <w:t xml:space="preserve"> Jimmy Mogal, Mark Schroeder.</w:t>
      </w:r>
    </w:p>
    <w:p>
      <w:pPr>
        <w:pStyle w:val="Normal"/>
        <w:rPr>
          <w:sz w:val="22"/>
        </w:rPr>
      </w:pPr>
      <w:r>
        <w:rPr>
          <w:sz w:val="22"/>
        </w:rPr>
      </w:r>
    </w:p>
    <w:p>
      <w:pPr>
        <w:pStyle w:val="Heading6"/>
        <w:ind w:hanging="0" w:start="0"/>
        <w:rPr/>
      </w:pPr>
      <w:r>
        <w:rPr/>
        <w:t>Old Business</w:t>
      </w:r>
    </w:p>
    <w:p>
      <w:pPr>
        <w:pStyle w:val="BodyText"/>
        <w:rPr>
          <w:sz w:val="22"/>
        </w:rPr>
      </w:pPr>
      <w:r>
        <w:rPr>
          <w:sz w:val="22"/>
        </w:rPr>
        <w:t>Jean distributed information materials requested at the first subcommittee meeting to those present and will send to members not in attendance.  These packets include articles on corporate responsibility from Forbes, Fortune and other financial media as well as information on corporate codes of conduct and principles on corporate responsibility. Jean asked that subcommittee members read these packets and be prepared to discuss next week.</w:t>
      </w:r>
    </w:p>
    <w:p>
      <w:pPr>
        <w:pStyle w:val="Normal"/>
        <w:rPr>
          <w:sz w:val="22"/>
        </w:rPr>
      </w:pPr>
      <w:r>
        <w:rPr>
          <w:sz w:val="22"/>
        </w:rPr>
      </w:r>
    </w:p>
    <w:p>
      <w:pPr>
        <w:pStyle w:val="Normal"/>
        <w:rPr>
          <w:sz w:val="22"/>
        </w:rPr>
      </w:pPr>
      <w:r>
        <w:rPr>
          <w:sz w:val="22"/>
        </w:rPr>
        <w:t>The group also discussed the stakeholder perception survey and the need for this subcommittee to identify key stakeholders, starting with the U.S. and U.K. Miguel proposed that we add a question or two to the existing PR image surveys that take place and said that Keith Miceli is in charge of forthcoming surveys in Brazil and Argentina. Jean will contact Keith to discuss including corporate responsibility questions.  Steve Kean mentioned the brand opinion research that Dennis Vegas’ group has conducted. Catherine has these results which will be fed into our stakeholder survey, and the group agreed that it might be useful to include a few questions on corporate responsibility in next year’s survey.  Targeted groups identified include media (U.K. especially), investors (both socially responsible and others), select non-governmental organizations (NGO), and customers.  Catherine will begin a list for members to review and add to as appropriate.</w:t>
      </w:r>
    </w:p>
    <w:p>
      <w:pPr>
        <w:pStyle w:val="Normal"/>
        <w:rPr>
          <w:sz w:val="22"/>
        </w:rPr>
      </w:pPr>
      <w:r>
        <w:rPr>
          <w:sz w:val="22"/>
        </w:rPr>
      </w:r>
    </w:p>
    <w:p>
      <w:pPr>
        <w:pStyle w:val="Heading2"/>
        <w:ind w:hanging="0" w:start="0"/>
        <w:rPr>
          <w:sz w:val="22"/>
        </w:rPr>
      </w:pPr>
      <w:r>
        <w:rPr>
          <w:sz w:val="22"/>
        </w:rPr>
        <w:t>New Business</w:t>
      </w:r>
    </w:p>
    <w:p>
      <w:pPr>
        <w:pStyle w:val="Normal"/>
        <w:rPr>
          <w:sz w:val="22"/>
        </w:rPr>
      </w:pPr>
      <w:r>
        <w:rPr>
          <w:sz w:val="22"/>
        </w:rPr>
        <w:t>Steve Kean noted that some groups are doctrinaire and will never be satisfied, while others can be constructively engaged. He suggested a metric for responsible, constructive engagement would result in external groups calling us first and knowing that we would answer their questions and concerns as best we can.  He suggested we use other stakeholder engagement efforts as models (or potential venues) for Enron.</w:t>
      </w:r>
    </w:p>
    <w:p>
      <w:pPr>
        <w:pStyle w:val="Normal"/>
        <w:rPr>
          <w:sz w:val="22"/>
        </w:rPr>
      </w:pPr>
      <w:r>
        <w:rPr>
          <w:sz w:val="22"/>
        </w:rPr>
      </w:r>
    </w:p>
    <w:p>
      <w:pPr>
        <w:pStyle w:val="Normal"/>
        <w:rPr/>
      </w:pPr>
      <w:r>
        <w:rPr>
          <w:sz w:val="22"/>
        </w:rPr>
        <w:t>The subcommittee settled on a workplan with several deliverables as outlined on the following page.  Jean requested that the subcommittee reconvene in a week’s time to review the information packets and finalize the list of stakeholders</w:t>
      </w:r>
      <w:r>
        <w:rPr>
          <w:b/>
          <w:sz w:val="22"/>
        </w:rPr>
        <w:t xml:space="preserve"> </w:t>
      </w:r>
      <w:r>
        <w:rPr>
          <w:sz w:val="22"/>
        </w:rPr>
        <w:t>as well as review the external codes of conduct and principles and make recommendation for which ones, if any, Enron should sign on to.  If there are any comments about the subcommittee’s work plan for this year please contact Jean.</w:t>
      </w:r>
    </w:p>
    <w:p>
      <w:pPr>
        <w:pStyle w:val="Normal"/>
        <w:rPr>
          <w:sz w:val="22"/>
        </w:rPr>
      </w:pPr>
      <w:r>
        <w:rPr>
          <w:sz w:val="22"/>
        </w:rPr>
      </w:r>
    </w:p>
    <w:p>
      <w:pPr>
        <w:pStyle w:val="Normal"/>
        <w:rPr>
          <w:sz w:val="22"/>
        </w:rPr>
      </w:pPr>
      <w:r>
        <w:rPr>
          <w:sz w:val="22"/>
        </w:rPr>
      </w:r>
    </w:p>
    <w:p>
      <w:pPr>
        <w:pStyle w:val="Heading6"/>
        <w:ind w:hanging="0" w:start="0"/>
        <w:jc w:val="center"/>
        <w:rPr/>
      </w:pPr>
      <w:r>
        <w:rPr/>
        <w:t>Meeting summary for March 22, 2001 10:30 am CST</w:t>
      </w:r>
    </w:p>
    <w:p>
      <w:pPr>
        <w:pStyle w:val="Normal"/>
        <w:rPr/>
      </w:pPr>
      <w:r>
        <w:rPr/>
      </w:r>
    </w:p>
    <w:p>
      <w:pPr>
        <w:pStyle w:val="Normal"/>
        <w:rPr/>
      </w:pPr>
      <w:r>
        <w:rPr>
          <w:b/>
          <w:sz w:val="22"/>
        </w:rPr>
        <w:t>Attendance</w:t>
      </w:r>
      <w:r>
        <w:rPr>
          <w:sz w:val="22"/>
        </w:rPr>
        <w:t>:  Steve Barth, Jean Mrha Beach, Miguel Padron, Mark Schroeder.</w:t>
      </w:r>
    </w:p>
    <w:p>
      <w:pPr>
        <w:pStyle w:val="Normal"/>
        <w:rPr/>
      </w:pPr>
      <w:r>
        <w:rPr>
          <w:sz w:val="22"/>
        </w:rPr>
        <w:t xml:space="preserve">Staff: Lauren Iannarone and Catherine McKalip-Thompson.  </w:t>
      </w:r>
      <w:r>
        <w:rPr>
          <w:b/>
          <w:sz w:val="22"/>
        </w:rPr>
        <w:t>Absent:</w:t>
      </w:r>
      <w:r>
        <w:rPr>
          <w:sz w:val="22"/>
        </w:rPr>
        <w:t xml:space="preserve"> Steve Kean, Jimmy Mogal.</w:t>
      </w:r>
    </w:p>
    <w:p>
      <w:pPr>
        <w:pStyle w:val="Normal"/>
        <w:rPr>
          <w:sz w:val="22"/>
        </w:rPr>
      </w:pPr>
      <w:r>
        <w:rPr>
          <w:sz w:val="22"/>
        </w:rPr>
      </w:r>
    </w:p>
    <w:p>
      <w:pPr>
        <w:pStyle w:val="Normal"/>
        <w:rPr/>
      </w:pPr>
      <w:r>
        <w:rPr>
          <w:b/>
          <w:sz w:val="22"/>
          <w:u w:val="single"/>
        </w:rPr>
        <w:t>Stakeholder Identification</w:t>
      </w:r>
      <w:r>
        <w:rPr>
          <w:sz w:val="22"/>
          <w:u w:val="single"/>
        </w:rPr>
        <w:t>:</w:t>
      </w:r>
      <w:r>
        <w:rPr>
          <w:sz w:val="22"/>
        </w:rPr>
        <w:t xml:space="preserve">  Subcommittee members agreed to send a list of the key stakeholder groups, with specific stakeholders identified as appropriate, to Catherine and copied to Jean by </w:t>
      </w:r>
      <w:r>
        <w:rPr>
          <w:b/>
          <w:sz w:val="22"/>
        </w:rPr>
        <w:t xml:space="preserve">March 30.  Please be as specific as you can with both customers and competitors.  </w:t>
      </w:r>
      <w:r>
        <w:rPr>
          <w:sz w:val="22"/>
        </w:rPr>
        <w:t xml:space="preserve">Environics will add to the list with specific contacts from the groups identified to come up with a large survey sample.  Catherine will communicate to Environics the group’s suggestion that the questions about Enron’s perceived corporate responsibility be done in reference to other companies, as a blind survey. </w:t>
      </w:r>
    </w:p>
    <w:p>
      <w:pPr>
        <w:pStyle w:val="Normal"/>
        <w:rPr>
          <w:sz w:val="22"/>
        </w:rPr>
      </w:pPr>
      <w:r>
        <w:rPr>
          <w:sz w:val="22"/>
        </w:rPr>
      </w:r>
    </w:p>
    <w:p>
      <w:pPr>
        <w:pStyle w:val="Normal"/>
        <w:rPr/>
      </w:pPr>
      <w:r>
        <w:rPr>
          <w:b/>
          <w:sz w:val="22"/>
          <w:u w:val="single"/>
        </w:rPr>
        <w:t>Codes of Conduct:</w:t>
      </w:r>
      <w:r>
        <w:rPr>
          <w:sz w:val="22"/>
          <w:u w:val="single"/>
        </w:rPr>
        <w:t xml:space="preserve">  </w:t>
      </w:r>
      <w:r>
        <w:rPr>
          <w:sz w:val="22"/>
        </w:rPr>
        <w:t xml:space="preserve"> The general feeling among the group was that many of the codes were somewhat nebulous and may be difficult to make operational, which could be a drawback or an advantage.  Jean suggested we come up with our own code with more specific performance metrics.  If we chose that course, we would lose the brand associated with the existing codes. Catherine and Lauren advised that the code we choose should cover stakeholders primary concerns about Enron – namely human rights (Dabhol) and environmental responsibility (Cuiaba pipeline). The group decided it would be important to know if any of the codes were preferred by our key stakeholders and would hold off making any recommendations on which to sign on to until receipt of that information.</w:t>
      </w:r>
    </w:p>
    <w:p>
      <w:pPr>
        <w:pStyle w:val="Normal"/>
        <w:rPr>
          <w:sz w:val="22"/>
        </w:rPr>
      </w:pPr>
      <w:r>
        <w:rPr>
          <w:sz w:val="22"/>
        </w:rPr>
      </w:r>
    </w:p>
    <w:p>
      <w:pPr>
        <w:pStyle w:val="Normal"/>
        <w:rPr>
          <w:sz w:val="22"/>
        </w:rPr>
      </w:pPr>
      <w:r>
        <w:rPr>
          <w:sz w:val="22"/>
        </w:rPr>
      </w:r>
    </w:p>
    <w:p>
      <w:pPr>
        <w:pStyle w:val="Normal"/>
        <w:jc w:val="center"/>
        <w:rPr>
          <w:b/>
          <w:sz w:val="24"/>
        </w:rPr>
      </w:pPr>
      <w:r>
        <w:rPr>
          <w:b/>
          <w:sz w:val="24"/>
        </w:rPr>
        <w:t>WORKPLAN</w:t>
      </w:r>
    </w:p>
    <w:p>
      <w:pPr>
        <w:pStyle w:val="Normal"/>
        <w:jc w:val="center"/>
        <w:rPr>
          <w:b/>
          <w:sz w:val="24"/>
        </w:rPr>
      </w:pPr>
      <w:r>
        <w:rPr>
          <w:b/>
          <w:sz w:val="24"/>
        </w:rPr>
      </w:r>
    </w:p>
    <w:tbl>
      <w:tblPr>
        <w:tblW w:w="10188" w:type="dxa"/>
        <w:jc w:val="start"/>
        <w:tblInd w:w="0" w:type="dxa"/>
        <w:tblLayout w:type="fixed"/>
        <w:tblCellMar>
          <w:top w:w="0" w:type="dxa"/>
          <w:start w:w="108" w:type="dxa"/>
          <w:bottom w:w="0" w:type="dxa"/>
          <w:end w:w="108" w:type="dxa"/>
        </w:tblCellMar>
      </w:tblPr>
      <w:tblGrid>
        <w:gridCol w:w="2358"/>
        <w:gridCol w:w="2160"/>
        <w:gridCol w:w="2430"/>
        <w:gridCol w:w="1908"/>
        <w:gridCol w:w="1332"/>
      </w:tblGrid>
      <w:tr>
        <w:trPr/>
        <w:tc>
          <w:tcPr>
            <w:tcW w:w="2358"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Deliverable</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Action/Strategy</w:t>
            </w:r>
          </w:p>
          <w:p>
            <w:pPr>
              <w:pStyle w:val="Normal"/>
              <w:rPr>
                <w:b/>
                <w:sz w:val="22"/>
              </w:rPr>
            </w:pPr>
            <w:r>
              <w:rPr>
                <w:b/>
                <w:sz w:val="22"/>
              </w:rPr>
            </w:r>
          </w:p>
        </w:tc>
        <w:tc>
          <w:tcPr>
            <w:tcW w:w="2430" w:type="dxa"/>
            <w:tcBorders>
              <w:top w:val="single" w:sz="4" w:space="0" w:color="000000"/>
              <w:start w:val="single" w:sz="4" w:space="0" w:color="000000"/>
              <w:bottom w:val="single" w:sz="4" w:space="0" w:color="000000"/>
              <w:end w:val="single" w:sz="4" w:space="0" w:color="000000"/>
            </w:tcBorders>
          </w:tcPr>
          <w:p>
            <w:pPr>
              <w:pStyle w:val="Heading2"/>
              <w:ind w:hanging="0" w:start="0"/>
              <w:rPr>
                <w:sz w:val="22"/>
              </w:rPr>
            </w:pPr>
            <w:r>
              <w:rPr>
                <w:sz w:val="22"/>
              </w:rPr>
              <w:t>Resources Needed</w:t>
            </w:r>
          </w:p>
        </w:tc>
        <w:tc>
          <w:tcPr>
            <w:tcW w:w="190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Responsibility for resources/action</w:t>
            </w:r>
          </w:p>
        </w:tc>
        <w:tc>
          <w:tcPr>
            <w:tcW w:w="1332"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Timeline</w:t>
            </w:r>
          </w:p>
        </w:tc>
      </w:tr>
      <w:tr>
        <w:trPr/>
        <w:tc>
          <w:tcPr>
            <w:tcW w:w="235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List of key stakeholders</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Add to initial list with specific contacts</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Preliminary list of key groups for Enron Corp and business units</w:t>
            </w:r>
          </w:p>
        </w:tc>
        <w:tc>
          <w:tcPr>
            <w:tcW w:w="19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Catherine will circulate initial list</w:t>
            </w:r>
          </w:p>
        </w:tc>
        <w:tc>
          <w:tcPr>
            <w:tcW w:w="133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March 14</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Understand stakeholder expectations, concerns, degree of influence</w:t>
            </w:r>
          </w:p>
          <w:p>
            <w:pPr>
              <w:pStyle w:val="Normal"/>
              <w:rPr>
                <w:sz w:val="22"/>
              </w:rPr>
            </w:pPr>
            <w:r>
              <w:rPr>
                <w:sz w:val="22"/>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Environics survey results, interviews</w:t>
            </w:r>
          </w:p>
        </w:tc>
        <w:tc>
          <w:tcPr>
            <w:tcW w:w="19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Subcommittee members contribute to final list</w:t>
            </w:r>
          </w:p>
        </w:tc>
        <w:tc>
          <w:tcPr>
            <w:tcW w:w="133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March 22</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Recommendation for external standards and codes of conduct in which Enron should participate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Review external codes and agree on which is most attractive for Enron</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External codes, list of signatories  </w:t>
            </w:r>
            <w:r>
              <w:rPr>
                <w:rFonts w:eastAsia="SAPIcons" w:cs="SAPIcons" w:ascii="SAPIcons" w:hAnsi="SAPIcons"/>
                <w:sz w:val="22"/>
              </w:rPr>
              <w:sym w:font="SAPIcons" w:char="f021"/>
            </w:r>
          </w:p>
        </w:tc>
        <w:tc>
          <w:tcPr>
            <w:tcW w:w="19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Jean </w:t>
            </w:r>
          </w:p>
        </w:tc>
        <w:tc>
          <w:tcPr>
            <w:tcW w:w="133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March 22 </w:t>
            </w:r>
          </w:p>
        </w:tc>
      </w:tr>
      <w:tr>
        <w:trPr/>
        <w:tc>
          <w:tcPr>
            <w:tcW w:w="235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List of organizations that will help facilitate discussion about public-private sector engagement</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highlight w:val="yellow"/>
              </w:rPr>
              <w:t>Identify non-partisan organizations with an interest and/or experience in facilitating public-private sector dialogue</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List of existing initiatives and forums</w:t>
            </w:r>
          </w:p>
          <w:p>
            <w:pPr>
              <w:pStyle w:val="Normal"/>
              <w:rPr>
                <w:sz w:val="22"/>
              </w:rPr>
            </w:pPr>
            <w:r>
              <w:rPr>
                <w:sz w:val="22"/>
              </w:rPr>
              <w:t>List of interested parties</w:t>
            </w:r>
          </w:p>
        </w:tc>
        <w:tc>
          <w:tcPr>
            <w:tcW w:w="19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Lauren</w:t>
            </w:r>
          </w:p>
        </w:tc>
        <w:tc>
          <w:tcPr>
            <w:tcW w:w="133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March 22</w:t>
            </w:r>
          </w:p>
        </w:tc>
      </w:tr>
      <w:tr>
        <w:trPr/>
        <w:tc>
          <w:tcPr>
            <w:tcW w:w="235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Strategy for constructive engagement (Enron specific)</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Scope out characteristics and criteria for dialogue </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Identify NGO and others who put standards and criteria on companies</w:t>
            </w:r>
          </w:p>
        </w:tc>
        <w:tc>
          <w:tcPr>
            <w:tcW w:w="19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Catherine</w:t>
            </w:r>
          </w:p>
        </w:tc>
        <w:tc>
          <w:tcPr>
            <w:tcW w:w="133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April-May</w:t>
            </w:r>
          </w:p>
        </w:tc>
      </w:tr>
      <w:tr>
        <w:trPr/>
        <w:tc>
          <w:tcPr>
            <w:tcW w:w="2358" w:type="dxa"/>
            <w:tcBorders>
              <w:top w:val="single" w:sz="4" w:space="0" w:color="000000"/>
              <w:start w:val="single" w:sz="4" w:space="0" w:color="000000"/>
              <w:bottom w:val="single" w:sz="4" w:space="0" w:color="000000"/>
              <w:end w:val="single" w:sz="4" w:space="0" w:color="000000"/>
            </w:tcBorders>
          </w:tcPr>
          <w:p>
            <w:pPr>
              <w:pStyle w:val="BodyText"/>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highlight w:val="yellow"/>
              </w:rPr>
              <w:t>Identify current efforts (WB, CERES) that feature businesses and NGO in constructive dialogue</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Description of dialogues</w:t>
            </w:r>
          </w:p>
        </w:tc>
        <w:tc>
          <w:tcPr>
            <w:tcW w:w="19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Catherine and Lauren</w:t>
            </w:r>
          </w:p>
        </w:tc>
        <w:tc>
          <w:tcPr>
            <w:tcW w:w="133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March-April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BodyText"/>
              <w:rPr>
                <w:sz w:val="22"/>
              </w:rPr>
            </w:pPr>
            <w:r>
              <w:rPr>
                <w:sz w:val="22"/>
              </w:rPr>
              <w:t xml:space="preserve">Strategy to proactively identify business unit issues that may give rise to concern among stakeholders </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Based on perception survey, engagement efforts and past experiences</w:t>
            </w:r>
          </w:p>
        </w:tc>
        <w:tc>
          <w:tcPr>
            <w:tcW w:w="19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Group</w:t>
            </w:r>
          </w:p>
        </w:tc>
        <w:tc>
          <w:tcPr>
            <w:tcW w:w="1332"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Summer</w:t>
            </w:r>
          </w:p>
        </w:tc>
      </w:tr>
    </w:tbl>
    <w:p>
      <w:pPr>
        <w:pStyle w:val="Normal"/>
        <w:ind w:start="1440" w:end="0"/>
        <w:rPr>
          <w:sz w:val="24"/>
          <w:highlight w:val="yellow"/>
        </w:rPr>
      </w:pPr>
      <w:r>
        <w:rPr>
          <w:sz w:val="24"/>
          <w:highlight w:val="yellow"/>
        </w:rPr>
        <w:t>**Are the two highlighted items really the same thing?</w:t>
      </w:r>
    </w:p>
    <w:sectPr>
      <w:type w:val="nextPage"/>
      <w:pgSz w:w="12240" w:h="15840"/>
      <w:pgMar w:left="1296" w:right="1296"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APIcon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440" w:end="0"/>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color w:val="800080"/>
      <w:sz w:val="24"/>
    </w:rPr>
  </w:style>
  <w:style w:type="paragraph" w:styleId="Heading4">
    <w:name w:val="heading 4"/>
    <w:basedOn w:val="Normal"/>
    <w:next w:val="Normal"/>
    <w:qFormat/>
    <w:pPr>
      <w:keepNext w:val="true"/>
      <w:numPr>
        <w:ilvl w:val="3"/>
        <w:numId w:val="1"/>
      </w:numPr>
      <w:outlineLvl w:val="3"/>
    </w:pPr>
    <w:rPr>
      <w:b/>
      <w:i/>
      <w:sz w:val="24"/>
    </w:rPr>
  </w:style>
  <w:style w:type="paragraph" w:styleId="Heading5">
    <w:name w:val="heading 5"/>
    <w:basedOn w:val="Normal"/>
    <w:next w:val="Normal"/>
    <w:qFormat/>
    <w:pPr>
      <w:keepNext w:val="true"/>
      <w:numPr>
        <w:ilvl w:val="4"/>
        <w:numId w:val="1"/>
      </w:numPr>
      <w:outlineLvl w:val="4"/>
    </w:pPr>
    <w:rPr>
      <w:b/>
      <w:i/>
      <w:sz w:val="24"/>
      <w:u w:val="single"/>
    </w:rPr>
  </w:style>
  <w:style w:type="paragraph" w:styleId="Heading6">
    <w:name w:val="heading 6"/>
    <w:basedOn w:val="Normal"/>
    <w:next w:val="Normal"/>
    <w:qFormat/>
    <w:pPr>
      <w:keepNext w:val="true"/>
      <w:numPr>
        <w:ilvl w:val="5"/>
        <w:numId w:val="1"/>
      </w:numPr>
      <w:outlineLvl w:val="5"/>
    </w:pPr>
    <w:rPr>
      <w:b/>
      <w:sz w:val="22"/>
    </w:rPr>
  </w:style>
  <w:style w:type="paragraph" w:styleId="Heading7">
    <w:name w:val="heading 7"/>
    <w:basedOn w:val="Normal"/>
    <w:next w:val="Normal"/>
    <w:qFormat/>
    <w:pPr>
      <w:keepNext w:val="true"/>
      <w:numPr>
        <w:ilvl w:val="6"/>
        <w:numId w:val="1"/>
      </w:numPr>
      <w:jc w:val="center"/>
      <w:outlineLvl w:val="6"/>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b/>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2001-03-26T20:50:00Z</dcterms:created>
  <dc:creator>liannaro</dc:creator>
  <dc:description/>
  <dc:language>en-CA</dc:language>
  <cp:lastModifiedBy>catherine_thompson</cp:lastModifiedBy>
  <cp:lastPrinted>2001-03-12T14:01:00Z</cp:lastPrinted>
  <dcterms:modified xsi:type="dcterms:W3CDTF">2001-03-27T17:50:00Z</dcterms:modified>
  <cp:revision>3</cp:revision>
  <dc:subject/>
  <dc:title>AGENDA FOR BENCHMARKING AND MEASUREMENT SUBCOMMITTEE:</dc:title>
</cp:coreProperties>
</file>