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br/>
      </w:r>
      <w:r>
        <w:rPr>
          <w:b/>
        </w:rPr>
        <w:t>September 12, 2000</w:t>
      </w:r>
    </w:p>
    <w:p>
      <w:pPr>
        <w:pStyle w:val="H2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Dow Jones Newswires</w:t>
      </w:r>
    </w:p>
    <w:p>
      <w:pPr>
        <w:pStyle w:val="H2"/>
        <w:rPr/>
      </w:pPr>
      <w:r>
        <w:rPr/>
        <w:t>Jefferies - FuelCell -3: FuelCell Units By '04 -Analyst</w:t>
      </w:r>
    </w:p>
    <w:p>
      <w:pPr>
        <w:pStyle w:val="Normal"/>
        <w:rPr>
          <w:i/>
          <w:i/>
        </w:rPr>
      </w:pPr>
      <w:r>
        <w:rPr>
          <w:i/>
        </w:rPr>
        <w:t>Dow Jones Newswires</w:t>
      </w:r>
    </w:p>
    <w:p>
      <w:pPr>
        <w:pStyle w:val="Normal"/>
        <w:rPr/>
      </w:pPr>
      <w:r>
        <w:rPr/>
        <w:t>Jefferies' Fremont expects FuelCell to begin selling its first commercial units in 2004.</w:t>
      </w:r>
    </w:p>
    <w:p>
      <w:pPr>
        <w:pStyle w:val="Normal"/>
        <w:rPr/>
      </w:pPr>
      <w:r>
        <w:rPr/>
        <w:t>The company is in the process of building a 250 kilowatt hybrid unit for design verification purposes. The unit will combine a 250 kilowatt fuel cell with a 30 kilowatt micro-turbine manufactured by Capstone. Both the fuel cell and the micro-turbine have been proven in field tests, Fremont said.</w:t>
      </w:r>
    </w:p>
    <w:p>
      <w:pPr>
        <w:pStyle w:val="Normal"/>
        <w:rPr/>
      </w:pPr>
      <w:r>
        <w:rPr/>
        <w:t>Built into Fremont's assumptions is the belief that FuelCell can capture 20% of the commercial and industrial market for electricity by 2010.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</w:t>
      </w:r>
      <w:r>
        <w:rPr/>
        <w:t>-Christina Cheddar, Dow Jones Newswires; 201-938-5166;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christina.cheddar@dowjones.com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br/>
      </w:r>
      <w:r>
        <w:rPr>
          <w:b/>
        </w:rPr>
        <w:t xml:space="preserve">Copyright © 2000 Dow Jones &amp; Company, Inc. All Rights Reserved. </w:t>
      </w:r>
    </w:p>
    <w:p>
      <w:pPr>
        <w:pStyle w:val="Normal"/>
        <w:rPr>
          <w:b/>
        </w:rPr>
      </w:pPr>
      <w:r>
        <w:rPr>
          <w:b/>
        </w:rPr>
        <w:t xml:space="preserve">Printing, distribution, and use of this material is governed by your Subscription Agreement and copyright laws.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  <w:lang w:eastAsia="en-US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paragraph" w:styleId="z-BottomofForm">
    <w:name w:val="z-Bottom of Form"/>
    <w:next w:val="Normal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Times New Roman" w:cs="Arial"/>
      <w:vanish/>
      <w:color w:val="auto"/>
      <w:sz w:val="16"/>
      <w:szCs w:val="20"/>
      <w:lang w:val="en-US" w:eastAsia="en-US" w:bidi="hi-IN"/>
    </w:rPr>
  </w:style>
  <w:style w:type="paragraph" w:styleId="z-TopofForm">
    <w:name w:val="z-Top of Form"/>
    <w:next w:val="Normal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Times New Roman" w:cs="Arial"/>
      <w:vanish/>
      <w:color w:val="auto"/>
      <w:sz w:val="16"/>
      <w:szCs w:val="20"/>
      <w:lang w:val="en-US" w:eastAsia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2000-09-13T11:04:00Z</dcterms:created>
  <dc:creator>Don Schultz</dc:creator>
  <dc:description/>
  <dc:language>en-CA</dc:language>
  <cp:lastModifiedBy>Don Schultz</cp:lastModifiedBy>
  <dcterms:modified xsi:type="dcterms:W3CDTF">2000-09-13T11:06:00Z</dcterms:modified>
  <cp:revision>1</cp:revision>
  <dc:subject/>
  <dc:title/>
</cp:coreProperties>
</file>