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bCs/>
          <w:sz w:val="36"/>
        </w:rPr>
      </w:pPr>
      <w:r>
        <w:rPr>
          <w:b/>
          <w:bCs/>
          <w:sz w:val="36"/>
        </w:rPr>
        <w:t>Messages</w:t>
      </w:r>
    </w:p>
    <w:p>
      <w:pPr>
        <w:pStyle w:val="Normal"/>
        <w:rPr>
          <w:rFonts w:ascii="Arial" w:hAnsi="Arial" w:cs="Arial"/>
          <w:b/>
          <w:bCs/>
          <w:sz w:val="32"/>
        </w:rPr>
      </w:pPr>
      <w:r>
        <w:rPr>
          <w:rFonts w:cs="Arial" w:ascii="Arial" w:hAnsi="Arial"/>
          <w:b/>
          <w:bCs/>
          <w:sz w:val="32"/>
        </w:rPr>
      </w:r>
    </w:p>
    <w:p>
      <w:pPr>
        <w:pStyle w:val="Normal"/>
        <w:rPr>
          <w:rFonts w:ascii="Arial" w:hAnsi="Arial" w:cs="Arial"/>
          <w:sz w:val="32"/>
        </w:rPr>
      </w:pPr>
      <w:r>
        <w:rPr>
          <w:rFonts w:cs="Arial" w:ascii="Arial" w:hAnsi="Arial"/>
          <w:sz w:val="32"/>
        </w:rPr>
        <w:t>This deal enables the customers and shareholders of both companies to participate in the tremendous benefits of the combined enterprise, including our market reach, financial strength and industry experience.  Together, we will be a new merchant energy powerhouse.</w:t>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t>Both companies are industry leaders that share a commitment to innovation, performance and community, and both are full of extremely talented and innovative individuals.</w:t>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t>This transaction confirms the significant value of Enron’s core business and addresses its current liquidity issues.  Dynegy has reviewed the related party and off-balance sheet issues facing Enron and is comfortable that those issues are manageable.</w:t>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t>We have met with the rating agencies and feel confident that they will maintain the investment grade status of both companies.</w:t>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t>Until the transaction closes, the companies will continue to function independently.</w:t>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HTMLPreformatted"/>
        <w:rPr/>
      </w:pPr>
      <w:r>
        <w:rPr>
          <w:rFonts w:cs="Times New Roman" w:ascii="Times New Roman" w:hAnsi="Times New Roman"/>
          <w:b/>
          <w:bCs/>
          <w:sz w:val="18"/>
        </w:rPr>
        <w:t>Investors and security holders are urged to carefully read the joint proxy statement/prospectus regarding the proposed transactions when it becomes available, because it will contain important information</w:t>
      </w:r>
      <w:r>
        <w:rPr>
          <w:rFonts w:cs="Times New Roman" w:ascii="Times New Roman" w:hAnsi="Times New Roman"/>
          <w:sz w:val="18"/>
        </w:rPr>
        <w:t>.  Investors and security holders may obtain a free copy of the joint proxy statement/prospectus (when it is available) and other documents containing information about Dynegy and Enron, without charge, at the SEC’s web site at www.sec.gov.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 507-6400, Fax:  (713) 507-6808; or Investor Relations, Enron Corp., 1400 Smith Street, Houston, TX 77002, Phone:  (713) 853-3956, Fax:  (713) 646-3002.</w:t>
      </w:r>
    </w:p>
    <w:p>
      <w:pPr>
        <w:pStyle w:val="HTMLPreformatted"/>
        <w:rPr>
          <w:rFonts w:ascii="Times New Roman" w:hAnsi="Times New Roman" w:cs="Times New Roman"/>
          <w:sz w:val="18"/>
        </w:rPr>
      </w:pPr>
      <w:r>
        <w:rPr>
          <w:rFonts w:cs="Times New Roman" w:ascii="Times New Roman" w:hAnsi="Times New Roman"/>
          <w:sz w:val="18"/>
        </w:rPr>
      </w:r>
    </w:p>
    <w:p>
      <w:pPr>
        <w:pStyle w:val="HTMLPreformatted"/>
        <w:rPr>
          <w:rFonts w:ascii="Times New Roman" w:hAnsi="Times New Roman" w:cs="Times New Roman"/>
          <w:sz w:val="18"/>
        </w:rPr>
      </w:pPr>
      <w:r>
        <w:rPr>
          <w:rFonts w:cs="Times New Roman" w:ascii="Times New Roman" w:hAnsi="Times New Roman"/>
          <w:sz w:val="18"/>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w:t>
      </w:r>
    </w:p>
    <w:p>
      <w:pPr>
        <w:pStyle w:val="Normal"/>
        <w:rPr>
          <w:rFonts w:ascii="Arial" w:hAnsi="Arial" w:cs="Arial"/>
          <w:sz w:val="18"/>
        </w:rPr>
      </w:pPr>
      <w:r>
        <w:rPr>
          <w:rFonts w:cs="Arial" w:ascii="Arial" w:hAnsi="Arial"/>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VEBodyText">
    <w:name w:val="VE Body Text"/>
    <w:basedOn w:val="Normal"/>
    <w:qFormat/>
    <w:pPr>
      <w:spacing w:before="0" w:after="240"/>
      <w:jc w:val="both"/>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2001-11-08T23:57:00Z</dcterms:created>
  <dc:creator>mphilip2</dc:creator>
  <dc:description/>
  <dc:language>en-CA</dc:language>
  <cp:lastModifiedBy>kdenne</cp:lastModifiedBy>
  <cp:lastPrinted>2001-11-07T11:38:00Z</cp:lastPrinted>
  <dcterms:modified xsi:type="dcterms:W3CDTF">2001-11-09T17:50:00Z</dcterms:modified>
  <cp:revision>4</cp:revision>
  <dc:subject/>
  <dc:title>Notre Dame Message</dc:title>
</cp:coreProperties>
</file>