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Message points we have been delivering to Governors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Price caps do not work and they will damage the short and long term development of a healthy energy market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2"/>
          <w:numId w:val="2"/>
        </w:numPr>
        <w:rPr>
          <w:i/>
          <w:i/>
          <w:iCs/>
        </w:rPr>
      </w:pPr>
      <w:r>
        <w:rPr>
          <w:i/>
          <w:iCs/>
        </w:rPr>
        <w:t>The Governors have been doing a good job of standing against price caps.  Reinforcing their resolve and thanking them for their efforts would be great.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If the policy/action doesn’t increase supply or decrease demand, don’t do it</w:t>
      </w:r>
    </w:p>
    <w:p>
      <w:pPr>
        <w:pStyle w:val="Normal"/>
        <w:ind w:start="1080" w:end="0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numPr>
          <w:ilvl w:val="2"/>
          <w:numId w:val="2"/>
        </w:numPr>
        <w:rPr>
          <w:i/>
          <w:i/>
          <w:iCs/>
        </w:rPr>
      </w:pPr>
      <w:r>
        <w:rPr>
          <w:i/>
          <w:iCs/>
        </w:rPr>
        <w:t>The Governors are starting to recognize and use this criteria; encouragement and reinforcement should be given.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FERC needs to place ALL users of the transmission system under the same terms and conditions.  FERC needs to require the development of a western RTO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2"/>
          <w:numId w:val="4"/>
        </w:numPr>
        <w:rPr>
          <w:i/>
          <w:i/>
          <w:iCs/>
        </w:rPr>
      </w:pPr>
      <w:r>
        <w:rPr>
          <w:i/>
          <w:iCs/>
        </w:rPr>
        <w:t xml:space="preserve">As you know, Governors have a very strong “states rights” mindset.  They need to be convinced/educated that these are areas that FERC can really </w:t>
      </w:r>
      <w:r>
        <w:rPr>
          <w:i/>
          <w:iCs/>
          <w:u w:val="single"/>
        </w:rPr>
        <w:t>help</w:t>
      </w:r>
      <w:r>
        <w:rPr>
          <w:i/>
          <w:iCs/>
        </w:rPr>
        <w:t xml:space="preserve"> the states, not take power away.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Balkanization as proposed in California would create wide ranging negative impacts on the western states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2"/>
          <w:numId w:val="4"/>
        </w:numPr>
        <w:rPr>
          <w:i/>
          <w:i/>
          <w:iCs/>
        </w:rPr>
      </w:pPr>
      <w:r>
        <w:rPr>
          <w:i/>
          <w:iCs/>
        </w:rPr>
        <w:t>Many of the western states have exported power over the past 6 months to California and they are worried that when they need power this summer they won’t be able to get it “back”.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  <w:i/>
          <w:i/>
          <w:iCs/>
          <w:sz w:val="28"/>
        </w:rPr>
      </w:pPr>
      <w:r>
        <w:rPr>
          <w:b/>
          <w:bCs/>
          <w:sz w:val="28"/>
        </w:rPr>
        <w:t>Demand side management can work if designed/promoted effectively</w:t>
      </w:r>
    </w:p>
    <w:p>
      <w:pPr>
        <w:pStyle w:val="Normal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numPr>
          <w:ilvl w:val="2"/>
          <w:numId w:val="3"/>
        </w:numPr>
        <w:rPr>
          <w:i/>
          <w:i/>
          <w:iCs/>
        </w:rPr>
      </w:pPr>
      <w:r>
        <w:rPr>
          <w:i/>
          <w:iCs/>
        </w:rPr>
        <w:t>The message here is to design buy down programs, regional demand exchanges, and outreach from Governors offices to leading businesses.  These are market solutions that provide a benefit to participants (money/flexibility/goodwill), so the response will be higher.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Public service conservation campaigns are valuable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2"/>
          <w:numId w:val="3"/>
        </w:numPr>
        <w:rPr/>
      </w:pPr>
      <w:r>
        <w:rPr>
          <w:i/>
          <w:iCs/>
        </w:rPr>
        <w:t>Polling suggests that California consumers do not believe there is any real crisis (probably because their Governor has not delivered a truthful message).  Western Governors could design credible state and region wide campaigns that would truly help their citizens.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start"/>
      <w:pPr>
        <w:tabs>
          <w:tab w:val="num" w:pos="3240"/>
        </w:tabs>
        <w:ind w:start="324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start"/>
      <w:pPr>
        <w:tabs>
          <w:tab w:val="num" w:pos="3240"/>
        </w:tabs>
        <w:ind w:start="324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start"/>
      <w:pPr>
        <w:tabs>
          <w:tab w:val="num" w:pos="3240"/>
        </w:tabs>
        <w:ind w:start="324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6">
    <w:name w:val="WW8Num1z6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6">
    <w:name w:val="WW8Num4z6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6">
    <w:name w:val="WW8Num5z6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2001-03-28T16:47:00Z</dcterms:created>
  <dc:creator>gdernehl</dc:creator>
  <dc:description/>
  <dc:language>en-CA</dc:language>
  <cp:lastModifiedBy>gdernehl</cp:lastModifiedBy>
  <cp:lastPrinted>2001-03-28T14:44:00Z</cp:lastPrinted>
  <dcterms:modified xsi:type="dcterms:W3CDTF">2001-03-28T18:22:00Z</dcterms:modified>
  <cp:revision>8</cp:revision>
  <dc:subject/>
  <dc:title>Message points we have been delivering to Governors</dc:title>
</cp:coreProperties>
</file>