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National Campaign – Merchant Function Team</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Dan Allegretti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State 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Deliverable to Dave Delainey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27, 2001</w:t>
            </w:r>
          </w:p>
        </w:tc>
      </w:tr>
    </w:tbl>
    <w:p>
      <w:pPr>
        <w:pStyle w:val="Body"/>
        <w:rPr/>
      </w:pPr>
      <w:r>
        <w:rPr/>
      </w:r>
      <w:bookmarkStart w:id="1" w:name="StartOfMemo"/>
      <w:bookmarkStart w:id="2" w:name="StartOfMemo"/>
      <w:bookmarkEnd w:id="2"/>
    </w:p>
    <w:p>
      <w:pPr>
        <w:pStyle w:val="Body"/>
        <w:rPr/>
      </w:pPr>
      <w:r>
        <w:rPr/>
      </w:r>
    </w:p>
    <w:p>
      <w:pPr>
        <w:pStyle w:val="Body"/>
        <w:rPr>
          <w:rFonts w:cs="Arial"/>
          <w:sz w:val="24"/>
        </w:rPr>
      </w:pPr>
      <w:r>
        <w:rPr>
          <w:rFonts w:cs="Arial"/>
          <w:sz w:val="24"/>
        </w:rPr>
      </w:r>
    </w:p>
    <w:p>
      <w:pPr>
        <w:pStyle w:val="Body"/>
        <w:rPr>
          <w:rFonts w:cs="Arial"/>
          <w:sz w:val="24"/>
        </w:rPr>
      </w:pPr>
      <w:r>
        <w:rPr>
          <w:rFonts w:cs="Arial"/>
          <w:sz w:val="24"/>
        </w:rPr>
        <w:t>EES is looking to expand its growth opportunities by acquiring large blocks of retail customers in open access jurisdictions and by opening new sales channels through specific regulated companies and municipal utilities in jurisdictions which are not fully open.  Our consistent national message is that non-regulated companies like Enron can provide better, more innovative products and services for customers than the monopoly utility.  Our global risk management and hedging tools can better protect customers than regulated utilities managing their own portfolios and passing through the costs.  We must, however, be able to get past the utility to the customer in order to deliver value whether the jurisdiction in question has adopted a broad open access policy or not.  Indeed, while the California crisis may have slowed the appetite of policymakers for full open access it may also have increased the desire of utilities to effectively get out of the merchant function with or without full direct access. Our opportunities, therefore, may be anywhere along a spectrum from complete direct access to mere commodity risk management.</w:t>
      </w:r>
    </w:p>
    <w:p>
      <w:pPr>
        <w:pStyle w:val="Body"/>
        <w:rPr>
          <w:rFonts w:cs="Arial"/>
          <w:sz w:val="24"/>
        </w:rPr>
      </w:pPr>
      <w:r>
        <w:rPr>
          <w:rFonts w:cs="Arial"/>
          <w:sz w:val="24"/>
        </w:rPr>
      </w:r>
    </w:p>
    <w:p>
      <w:pPr>
        <w:pStyle w:val="Body"/>
        <w:rPr>
          <w:rFonts w:cs="Arial"/>
          <w:sz w:val="24"/>
          <w:lang w:val="en-CA" w:eastAsia="en-CA"/>
        </w:rPr>
      </w:pPr>
      <w:r>
        <w:rPr>
          <w:rFonts w:cs="Arial"/>
          <w:sz w:val="24"/>
          <w:lang w:val="en-CA" w:eastAsia="en-CA"/>
        </w:rPr>
        <mc:AlternateContent>
          <mc:Choice Requires="wps">
            <w:drawing>
              <wp:anchor behindDoc="0" distT="0" distB="0" distL="114935" distR="114935" simplePos="0" locked="0" layoutInCell="1" allowOverlap="1" relativeHeight="5">
                <wp:simplePos x="0" y="0"/>
                <wp:positionH relativeFrom="column">
                  <wp:posOffset>1765935</wp:posOffset>
                </wp:positionH>
                <wp:positionV relativeFrom="paragraph">
                  <wp:posOffset>19050</wp:posOffset>
                </wp:positionV>
                <wp:extent cx="0" cy="228600"/>
                <wp:effectExtent l="5080" t="0" r="5080" b="0"/>
                <wp:wrapNone/>
                <wp:docPr id="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9.05pt,1.5pt" to="139.05pt,19.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3594735</wp:posOffset>
                </wp:positionH>
                <wp:positionV relativeFrom="paragraph">
                  <wp:posOffset>19050</wp:posOffset>
                </wp:positionV>
                <wp:extent cx="0" cy="228600"/>
                <wp:effectExtent l="5080" t="0" r="5080" b="0"/>
                <wp:wrapNone/>
                <wp:docPr id="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3.05pt,1.5pt" to="283.05pt,19.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5080635</wp:posOffset>
                </wp:positionH>
                <wp:positionV relativeFrom="paragraph">
                  <wp:posOffset>19050</wp:posOffset>
                </wp:positionV>
                <wp:extent cx="0" cy="228600"/>
                <wp:effectExtent l="5080" t="0" r="5080" b="0"/>
                <wp:wrapNone/>
                <wp:docPr id="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0.05pt,1.5pt" to="400.05pt,19.4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
                <wp:simplePos x="0" y="0"/>
                <wp:positionH relativeFrom="column">
                  <wp:posOffset>41910</wp:posOffset>
                </wp:positionH>
                <wp:positionV relativeFrom="paragraph">
                  <wp:posOffset>1905</wp:posOffset>
                </wp:positionV>
                <wp:extent cx="6534150" cy="247650"/>
                <wp:effectExtent l="0" t="0" r="0" b="0"/>
                <wp:wrapNone/>
                <wp:docPr id="5" name="Frame1"/>
                <a:graphic xmlns:a="http://schemas.openxmlformats.org/drawingml/2006/main">
                  <a:graphicData uri="http://schemas.microsoft.com/office/word/2010/wordprocessingShape">
                    <wps:wsp>
                      <wps:cNvSpPr txBox="1"/>
                      <wps:spPr>
                        <a:xfrm>
                          <a:off x="0" y="0"/>
                          <a:ext cx="6534150" cy="247650"/>
                        </a:xfrm>
                        <a:prstGeom prst="rect"/>
                        <a:solidFill>
                          <a:srgbClr val="FFFFFF"/>
                        </a:solidFill>
                        <a:ln w="9525">
                          <a:solidFill>
                            <a:srgbClr val="000000"/>
                          </a:solidFill>
                        </a:ln>
                      </wps:spPr>
                      <wps:txbx>
                        <w:txbxContent>
                          <w:p>
                            <w:pPr>
                              <w:pStyle w:val="Subject"/>
                              <w:tabs>
                                <w:tab w:val="left" w:pos="540" w:leader="none"/>
                              </w:tabs>
                              <w:rPr/>
                            </w:pPr>
                            <w:r>
                              <w:rPr/>
                              <w:t>Price Risk mgmt. w/ utility</w:t>
                              <w:tab/>
                              <w:t xml:space="preserve">  Outsourcing default svc.</w:t>
                              <w:tab/>
                              <w:t>Cobranding w/ utility</w:t>
                              <w:tab/>
                              <w:t xml:space="preserve">  Acquiring 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14.5pt;height:19.5pt;mso-wrap-distance-left:9.05pt;mso-wrap-distance-right:9.05pt;mso-wrap-distance-top:0pt;mso-wrap-distance-bottom:0pt;margin-top:0.15pt;mso-position-vertical-relative:text;margin-left:3.3pt;mso-position-horizontal-relative:text">
                <v:textbox>
                  <w:txbxContent>
                    <w:p>
                      <w:pPr>
                        <w:pStyle w:val="Subject"/>
                        <w:tabs>
                          <w:tab w:val="left" w:pos="540" w:leader="none"/>
                        </w:tabs>
                        <w:rPr/>
                      </w:pPr>
                      <w:r>
                        <w:rPr/>
                        <w:t>Price Risk mgmt. w/ utility</w:t>
                        <w:tab/>
                        <w:t xml:space="preserve">  Outsourcing default svc.</w:t>
                        <w:tab/>
                        <w:t>Cobranding w/ utility</w:t>
                        <w:tab/>
                        <w:t xml:space="preserve">  Acquiring customer</w:t>
                      </w:r>
                    </w:p>
                  </w:txbxContent>
                </v:textbox>
                <w10:wrap type="none"/>
              </v:rect>
            </w:pict>
          </mc:Fallback>
        </mc:AlternateContent>
      </w:r>
    </w:p>
    <w:p>
      <w:pPr>
        <w:pStyle w:val="Body"/>
        <w:rPr>
          <w:rFonts w:cs="Arial"/>
          <w:sz w:val="24"/>
        </w:rPr>
      </w:pPr>
      <w:r>
        <w:rPr>
          <w:rFonts w:cs="Arial"/>
          <w:sz w:val="24"/>
        </w:rPr>
      </w:r>
    </w:p>
    <w:p>
      <w:pPr>
        <w:pStyle w:val="Body"/>
        <w:rPr>
          <w:rFonts w:cs="Arial"/>
          <w:sz w:val="24"/>
        </w:rPr>
      </w:pPr>
      <w:r>
        <w:rPr>
          <w:rFonts w:cs="Arial"/>
          <w:sz w:val="24"/>
        </w:rPr>
      </w:r>
    </w:p>
    <w:p>
      <w:pPr>
        <w:pStyle w:val="Body"/>
        <w:rPr>
          <w:rFonts w:cs="Arial"/>
          <w:sz w:val="24"/>
        </w:rPr>
      </w:pPr>
      <w:r>
        <w:rPr>
          <w:rFonts w:cs="Arial"/>
          <w:sz w:val="24"/>
        </w:rPr>
        <w:t>Specifically, EES would like Government Affairs to assist them in identifying concrete commercial opportunities where EES can reach a large customer base through direct access, such as a standard offer or default aggregation, or through virtual direct access, such as a co-branding or asset management/outsourcing arrangement.  Jeff Ader with EES is taking the lead on this initiative and is working closely with EES senior management in developing the business.</w:t>
      </w:r>
    </w:p>
    <w:p>
      <w:pPr>
        <w:pStyle w:val="Body"/>
        <w:rPr>
          <w:rFonts w:cs="Arial"/>
          <w:sz w:val="24"/>
        </w:rPr>
      </w:pPr>
      <w:r>
        <w:rPr>
          <w:rFonts w:cs="Arial"/>
          <w:sz w:val="24"/>
        </w:rPr>
      </w:r>
    </w:p>
    <w:p>
      <w:pPr>
        <w:pStyle w:val="Body"/>
        <w:rPr/>
      </w:pPr>
      <w:r>
        <w:rPr>
          <w:rFonts w:cs="Arial"/>
          <w:sz w:val="24"/>
        </w:rPr>
        <w:t xml:space="preserve">In terms of our deliverable we need to put together 1 to 2 pages on each potentially viable opportunity.  Sue and I will then cull and edit the list with Jeff and the appropriate individuals from Government Affairs and present a report to Dave Delainey which Rick has committed to by April 6, 2001.  </w:t>
      </w:r>
      <w:r>
        <w:rPr>
          <w:rFonts w:cs="Arial"/>
          <w:b/>
          <w:bCs/>
          <w:sz w:val="24"/>
        </w:rPr>
        <w:t>This is a very short time frame and a very big project so we need a lot of help from everyone  to pull this together.</w:t>
      </w:r>
      <w:r>
        <w:rPr>
          <w:rFonts w:cs="Arial"/>
          <w:sz w:val="24"/>
        </w:rPr>
        <w:t xml:space="preserve">  To help everyone in pulling information together we have put together a format and a list of questions which is attached.  We will also be following up with phone conversations as well to discuss the project in detail.  In fact, many folks in Government Affairs have already been contacted.  We need your support and look forward to working with everyone on this.</w:t>
      </w:r>
    </w:p>
    <w:p>
      <w:pPr>
        <w:pStyle w:val="Body"/>
        <w:rPr>
          <w:rFonts w:cs="Arial"/>
          <w:sz w:val="24"/>
        </w:rPr>
      </w:pPr>
      <w:r>
        <w:rPr>
          <w:rFonts w:cs="Arial"/>
          <w:sz w:val="24"/>
        </w:rPr>
      </w:r>
      <w:r>
        <w:br w:type="page"/>
      </w:r>
    </w:p>
    <w:p>
      <w:pPr>
        <w:pStyle w:val="Body"/>
        <w:rPr>
          <w:rFonts w:cs="Arial"/>
          <w:sz w:val="24"/>
          <w:u w:val="single"/>
        </w:rPr>
      </w:pPr>
      <w:r>
        <w:rPr>
          <w:rFonts w:cs="Arial"/>
          <w:sz w:val="24"/>
          <w:u w:val="single"/>
        </w:rPr>
        <w:t>Description of the Opportunity</w:t>
      </w:r>
    </w:p>
    <w:p>
      <w:pPr>
        <w:pStyle w:val="Body"/>
        <w:rPr>
          <w:rFonts w:cs="Arial"/>
          <w:sz w:val="24"/>
          <w:u w:val="single"/>
        </w:rPr>
      </w:pPr>
      <w:r>
        <w:rPr>
          <w:rFonts w:cs="Arial"/>
          <w:sz w:val="24"/>
          <w:u w:val="single"/>
        </w:rPr>
      </w:r>
    </w:p>
    <w:p>
      <w:pPr>
        <w:pStyle w:val="Body"/>
        <w:rPr>
          <w:rFonts w:cs="Arial"/>
          <w:sz w:val="24"/>
        </w:rPr>
      </w:pPr>
      <w:r>
        <w:rPr>
          <w:rFonts w:cs="Arial"/>
          <w:sz w:val="24"/>
        </w:rPr>
        <w:tab/>
        <w:t>•</w:t>
        <w:tab/>
        <w:t>Who is the target utility?  Do they want or have to exit the merchant function?</w:t>
      </w:r>
    </w:p>
    <w:p>
      <w:pPr>
        <w:pStyle w:val="Body"/>
        <w:ind w:hanging="720" w:start="1440" w:end="0"/>
        <w:rPr>
          <w:rFonts w:cs="Arial"/>
          <w:sz w:val="24"/>
        </w:rPr>
      </w:pPr>
      <w:r>
        <w:rPr>
          <w:rFonts w:cs="Arial"/>
          <w:sz w:val="24"/>
        </w:rPr>
        <w:t>•</w:t>
      </w:r>
      <w:r>
        <w:rPr>
          <w:rFonts w:cs="Arial"/>
          <w:sz w:val="24"/>
        </w:rPr>
        <w:tab/>
        <w:t>Are there any municipals or cooperatives we can work with to expand product and services offerings to their customers?</w:t>
      </w:r>
    </w:p>
    <w:p>
      <w:pPr>
        <w:pStyle w:val="Body"/>
        <w:ind w:hanging="720" w:start="1440" w:end="0"/>
        <w:rPr>
          <w:rFonts w:cs="Arial"/>
          <w:sz w:val="24"/>
        </w:rPr>
      </w:pPr>
      <w:r>
        <w:rPr>
          <w:rFonts w:cs="Arial"/>
          <w:sz w:val="24"/>
        </w:rPr>
        <w:t>•</w:t>
      </w:r>
      <w:r>
        <w:rPr>
          <w:rFonts w:cs="Arial"/>
          <w:sz w:val="24"/>
        </w:rPr>
        <w:tab/>
        <w:t>Does the state allow for municipalities who are not utilities to aggregate customers under an “opt-out” program?</w:t>
        <w:tab/>
      </w:r>
    </w:p>
    <w:p>
      <w:pPr>
        <w:pStyle w:val="Body"/>
        <w:ind w:hanging="720" w:start="1440" w:end="0"/>
        <w:rPr>
          <w:rFonts w:cs="Arial"/>
          <w:sz w:val="24"/>
        </w:rPr>
      </w:pPr>
      <w:r>
        <w:rPr>
          <w:rFonts w:cs="Arial"/>
          <w:sz w:val="24"/>
        </w:rPr>
        <w:t>•</w:t>
      </w:r>
      <w:r>
        <w:rPr>
          <w:rFonts w:cs="Arial"/>
          <w:sz w:val="24"/>
        </w:rPr>
        <w:tab/>
        <w:t>How can EES get its products to their customers in the given regulated or unregulated environment?</w:t>
        <w:tab/>
      </w:r>
    </w:p>
    <w:p>
      <w:pPr>
        <w:pStyle w:val="Body"/>
        <w:ind w:hanging="720" w:start="1440" w:end="0"/>
        <w:rPr>
          <w:rFonts w:cs="Arial"/>
          <w:sz w:val="24"/>
        </w:rPr>
      </w:pPr>
      <w:r>
        <w:rPr>
          <w:rFonts w:cs="Arial"/>
          <w:sz w:val="24"/>
        </w:rPr>
        <w:t>•</w:t>
      </w:r>
      <w:r>
        <w:rPr>
          <w:rFonts w:cs="Arial"/>
          <w:sz w:val="24"/>
        </w:rPr>
        <w:tab/>
        <w:t>How will EES acquire multiple customer sales without marketing customers individually?</w:t>
      </w:r>
    </w:p>
    <w:p>
      <w:pPr>
        <w:pStyle w:val="Body"/>
        <w:ind w:firstLine="648" w:end="0"/>
        <w:rPr>
          <w:rFonts w:cs="Arial"/>
          <w:sz w:val="24"/>
        </w:rPr>
      </w:pPr>
      <w:r>
        <w:rPr>
          <w:rFonts w:cs="Arial"/>
          <w:sz w:val="24"/>
        </w:rPr>
        <w:t>•</w:t>
      </w:r>
      <w:r>
        <w:rPr>
          <w:rFonts w:cs="Arial"/>
          <w:sz w:val="24"/>
        </w:rPr>
        <w:tab/>
        <w:t>What needs to happen for the project to come together?</w:t>
      </w:r>
    </w:p>
    <w:p>
      <w:pPr>
        <w:pStyle w:val="Body"/>
        <w:rPr>
          <w:rFonts w:cs="Arial"/>
          <w:sz w:val="24"/>
        </w:rPr>
      </w:pPr>
      <w:r>
        <w:rPr>
          <w:rFonts w:cs="Arial"/>
          <w:sz w:val="24"/>
        </w:rPr>
        <w:tab/>
        <w:t>•</w:t>
        <w:tab/>
        <w:t>What is the realistic timing for the project?</w:t>
      </w:r>
    </w:p>
    <w:p>
      <w:pPr>
        <w:pStyle w:val="Body"/>
        <w:rPr>
          <w:rFonts w:cs="Arial"/>
          <w:sz w:val="24"/>
        </w:rPr>
      </w:pPr>
      <w:r>
        <w:rPr>
          <w:rFonts w:cs="Arial"/>
          <w:sz w:val="24"/>
        </w:rPr>
        <w:tab/>
        <w:t>•</w:t>
        <w:tab/>
        <w:t>What are the load migration risks and how are they mitigated?</w:t>
      </w:r>
    </w:p>
    <w:p>
      <w:pPr>
        <w:pStyle w:val="Body"/>
        <w:rPr>
          <w:rFonts w:cs="Arial"/>
          <w:sz w:val="24"/>
        </w:rPr>
      </w:pPr>
      <w:r>
        <w:rPr>
          <w:rFonts w:cs="Arial"/>
          <w:sz w:val="24"/>
        </w:rPr>
      </w:r>
    </w:p>
    <w:p>
      <w:pPr>
        <w:pStyle w:val="Body"/>
        <w:rPr>
          <w:rFonts w:cs="Arial"/>
          <w:sz w:val="24"/>
          <w:u w:val="single"/>
        </w:rPr>
      </w:pPr>
      <w:r>
        <w:rPr>
          <w:rFonts w:cs="Arial"/>
          <w:sz w:val="24"/>
          <w:u w:val="single"/>
        </w:rPr>
        <w:t>Description of the Regulatory Framework</w:t>
      </w:r>
    </w:p>
    <w:p>
      <w:pPr>
        <w:pStyle w:val="Body"/>
        <w:rPr>
          <w:rFonts w:cs="Arial"/>
          <w:sz w:val="24"/>
          <w:u w:val="single"/>
        </w:rPr>
      </w:pPr>
      <w:r>
        <w:rPr>
          <w:rFonts w:cs="Arial"/>
          <w:sz w:val="24"/>
          <w:u w:val="single"/>
        </w:rPr>
      </w:r>
    </w:p>
    <w:p>
      <w:pPr>
        <w:pStyle w:val="Body"/>
        <w:rPr>
          <w:rFonts w:cs="Arial"/>
          <w:sz w:val="24"/>
        </w:rPr>
      </w:pPr>
      <w:r>
        <w:rPr>
          <w:rFonts w:cs="Arial"/>
          <w:sz w:val="24"/>
        </w:rPr>
        <w:tab/>
        <w:t>•</w:t>
        <w:tab/>
        <w:t>Where is the state currently on the open access spectrum and where is it heading?</w:t>
      </w:r>
    </w:p>
    <w:p>
      <w:pPr>
        <w:pStyle w:val="Body"/>
        <w:rPr>
          <w:rFonts w:cs="Arial"/>
          <w:sz w:val="24"/>
        </w:rPr>
      </w:pPr>
      <w:r>
        <w:rPr>
          <w:rFonts w:cs="Arial"/>
          <w:sz w:val="24"/>
        </w:rPr>
        <w:tab/>
        <w:t>•</w:t>
        <w:tab/>
        <w:t>What changes are expected and what is the timetable for change?</w:t>
      </w:r>
    </w:p>
    <w:p>
      <w:pPr>
        <w:pStyle w:val="Body"/>
        <w:rPr>
          <w:rFonts w:cs="Arial"/>
          <w:sz w:val="24"/>
        </w:rPr>
      </w:pPr>
      <w:r>
        <w:rPr>
          <w:rFonts w:cs="Arial"/>
          <w:sz w:val="24"/>
        </w:rPr>
        <w:tab/>
        <w:t>•</w:t>
        <w:tab/>
        <w:t>What about natural gas?</w:t>
      </w:r>
    </w:p>
    <w:p>
      <w:pPr>
        <w:pStyle w:val="Body"/>
        <w:rPr>
          <w:rFonts w:cs="Arial"/>
          <w:sz w:val="24"/>
        </w:rPr>
      </w:pPr>
      <w:r>
        <w:rPr>
          <w:rFonts w:cs="Arial"/>
          <w:sz w:val="24"/>
        </w:rPr>
        <w:tab/>
      </w:r>
    </w:p>
    <w:p>
      <w:pPr>
        <w:pStyle w:val="Body"/>
        <w:rPr>
          <w:rFonts w:cs="Arial"/>
          <w:sz w:val="24"/>
        </w:rPr>
      </w:pPr>
      <w:r>
        <w:rPr>
          <w:rFonts w:cs="Arial"/>
          <w:sz w:val="24"/>
        </w:rPr>
      </w:r>
    </w:p>
    <w:p>
      <w:pPr>
        <w:pStyle w:val="Body"/>
        <w:rPr>
          <w:rFonts w:cs="Arial"/>
          <w:sz w:val="24"/>
          <w:u w:val="single"/>
        </w:rPr>
      </w:pPr>
      <w:r>
        <w:rPr>
          <w:rFonts w:cs="Arial"/>
          <w:sz w:val="24"/>
          <w:u w:val="single"/>
        </w:rPr>
        <w:t>Analysis of the Politics</w:t>
      </w:r>
    </w:p>
    <w:p>
      <w:pPr>
        <w:pStyle w:val="Body"/>
        <w:rPr>
          <w:rFonts w:cs="Arial"/>
          <w:sz w:val="24"/>
          <w:u w:val="single"/>
        </w:rPr>
      </w:pPr>
      <w:r>
        <w:rPr>
          <w:rFonts w:cs="Arial"/>
          <w:sz w:val="24"/>
          <w:u w:val="single"/>
        </w:rPr>
      </w:r>
    </w:p>
    <w:p>
      <w:pPr>
        <w:pStyle w:val="Body"/>
        <w:ind w:firstLine="648" w:end="0"/>
        <w:rPr>
          <w:rFonts w:cs="Arial"/>
          <w:sz w:val="24"/>
        </w:rPr>
      </w:pPr>
      <w:r>
        <w:rPr>
          <w:rFonts w:cs="Arial"/>
          <w:sz w:val="24"/>
        </w:rPr>
        <w:t>•</w:t>
      </w:r>
      <w:r>
        <w:rPr>
          <w:rFonts w:cs="Arial"/>
          <w:sz w:val="24"/>
        </w:rPr>
        <w:tab/>
        <w:t>What is the attitude and outlook of the regulatory commission?</w:t>
      </w:r>
    </w:p>
    <w:p>
      <w:pPr>
        <w:pStyle w:val="Body"/>
        <w:ind w:hanging="720" w:start="1440" w:end="0"/>
        <w:rPr>
          <w:rFonts w:cs="Arial"/>
          <w:sz w:val="24"/>
        </w:rPr>
      </w:pPr>
      <w:r>
        <w:rPr>
          <w:rFonts w:cs="Arial"/>
          <w:sz w:val="24"/>
        </w:rPr>
        <w:t>•</w:t>
      </w:r>
      <w:r>
        <w:rPr>
          <w:rFonts w:cs="Arial"/>
          <w:sz w:val="24"/>
        </w:rPr>
        <w:tab/>
        <w:t>What is the attitude and outlook of the utility?  How will they react to our approach?  What is in it for them?</w:t>
      </w:r>
    </w:p>
    <w:p>
      <w:pPr>
        <w:pStyle w:val="Body"/>
        <w:ind w:hanging="720" w:start="1440" w:end="0"/>
        <w:rPr>
          <w:rFonts w:cs="Arial"/>
          <w:sz w:val="24"/>
        </w:rPr>
      </w:pPr>
      <w:r>
        <w:rPr>
          <w:rFonts w:cs="Arial"/>
          <w:sz w:val="24"/>
        </w:rPr>
        <w:t>•</w:t>
      </w:r>
      <w:r>
        <w:rPr>
          <w:rFonts w:cs="Arial"/>
          <w:sz w:val="24"/>
        </w:rPr>
        <w:tab/>
        <w:t>What other areas of influence can we use?  Legislature?  Administration?  Other advocates?</w:t>
      </w:r>
    </w:p>
    <w:p>
      <w:pPr>
        <w:pStyle w:val="Body"/>
        <w:ind w:hanging="720" w:start="1440" w:end="0"/>
        <w:rPr>
          <w:rFonts w:cs="Arial"/>
          <w:sz w:val="24"/>
        </w:rPr>
      </w:pPr>
      <w:r>
        <w:rPr>
          <w:rFonts w:cs="Arial"/>
          <w:sz w:val="24"/>
        </w:rPr>
      </w:r>
    </w:p>
    <w:p>
      <w:pPr>
        <w:pStyle w:val="Body"/>
        <w:ind w:start="0" w:end="0"/>
        <w:rPr>
          <w:rFonts w:cs="Arial"/>
          <w:sz w:val="24"/>
          <w:u w:val="single"/>
        </w:rPr>
      </w:pPr>
      <w:r>
        <w:rPr>
          <w:rFonts w:cs="Arial"/>
          <w:sz w:val="24"/>
          <w:u w:val="single"/>
        </w:rPr>
        <w:t>Analysis of the Market</w:t>
      </w:r>
    </w:p>
    <w:p>
      <w:pPr>
        <w:pStyle w:val="Body"/>
        <w:ind w:start="0" w:end="0"/>
        <w:rPr>
          <w:rFonts w:cs="Arial"/>
          <w:sz w:val="24"/>
          <w:u w:val="single"/>
        </w:rPr>
      </w:pPr>
      <w:r>
        <w:rPr>
          <w:rFonts w:cs="Arial"/>
          <w:sz w:val="24"/>
          <w:u w:val="single"/>
        </w:rPr>
      </w:r>
    </w:p>
    <w:p>
      <w:pPr>
        <w:pStyle w:val="Body"/>
        <w:ind w:hanging="720" w:start="1440" w:end="0"/>
        <w:rPr>
          <w:rFonts w:cs="Arial"/>
          <w:sz w:val="24"/>
        </w:rPr>
      </w:pPr>
      <w:r>
        <w:rPr>
          <w:rFonts w:cs="Arial"/>
          <w:sz w:val="24"/>
        </w:rPr>
        <w:t>•</w:t>
      </w:r>
      <w:r>
        <w:rPr>
          <w:rFonts w:cs="Arial"/>
          <w:sz w:val="24"/>
        </w:rPr>
        <w:tab/>
        <w:t>Describe the relevant wholesale market</w:t>
      </w:r>
    </w:p>
    <w:p>
      <w:pPr>
        <w:pStyle w:val="Body"/>
        <w:ind w:hanging="720" w:start="1440" w:end="0"/>
        <w:rPr>
          <w:rFonts w:cs="Arial"/>
          <w:sz w:val="24"/>
        </w:rPr>
      </w:pPr>
      <w:r>
        <w:rPr>
          <w:rFonts w:cs="Arial"/>
          <w:sz w:val="24"/>
        </w:rPr>
        <w:t>•</w:t>
      </w:r>
      <w:r>
        <w:rPr>
          <w:rFonts w:cs="Arial"/>
          <w:sz w:val="24"/>
        </w:rPr>
        <w:tab/>
        <w:t>Describe the size of the targety utility.  What are the relative sizes of the residential, commercial and industrial loads?</w:t>
      </w:r>
    </w:p>
    <w:p>
      <w:pPr>
        <w:pStyle w:val="Body"/>
        <w:ind w:hanging="720" w:start="1440" w:end="0"/>
        <w:rPr>
          <w:rFonts w:cs="Arial"/>
          <w:sz w:val="24"/>
        </w:rPr>
      </w:pPr>
      <w:r>
        <w:rPr>
          <w:rFonts w:cs="Arial"/>
          <w:sz w:val="24"/>
        </w:rPr>
        <w:t>•</w:t>
      </w:r>
      <w:r>
        <w:rPr>
          <w:rFonts w:cs="Arial"/>
          <w:sz w:val="24"/>
        </w:rPr>
        <w:tab/>
        <w:t>Can we settle imbalances in this market?</w:t>
      </w:r>
    </w:p>
    <w:p>
      <w:pPr>
        <w:pStyle w:val="Body"/>
        <w:ind w:hanging="720" w:start="1440" w:end="0"/>
        <w:rPr>
          <w:rFonts w:cs="Arial"/>
          <w:sz w:val="24"/>
        </w:rPr>
      </w:pPr>
      <w:r>
        <w:rPr>
          <w:rFonts w:cs="Arial"/>
          <w:sz w:val="24"/>
        </w:rPr>
        <w:t>•</w:t>
      </w:r>
      <w:r>
        <w:rPr>
          <w:rFonts w:cs="Arial"/>
          <w:sz w:val="24"/>
        </w:rPr>
        <w:tab/>
        <w:t>Can we site generation if necessary to cover our position?</w:t>
      </w:r>
    </w:p>
    <w:p>
      <w:pPr>
        <w:pStyle w:val="Body"/>
        <w:ind w:hanging="720" w:start="1440" w:end="0"/>
        <w:rPr>
          <w:rFonts w:cs="Arial"/>
          <w:sz w:val="24"/>
        </w:rPr>
      </w:pPr>
      <w:r>
        <w:rPr>
          <w:rFonts w:cs="Arial"/>
          <w:sz w:val="24"/>
        </w:rPr>
        <w:t>•</w:t>
      </w:r>
      <w:r>
        <w:rPr>
          <w:rFonts w:cs="Arial"/>
          <w:sz w:val="24"/>
        </w:rPr>
        <w:tab/>
        <w:t>How concentrated is the wholeslae market?  Are there market power problems?</w:t>
        <w:tab/>
      </w:r>
    </w:p>
    <w:p>
      <w:pPr>
        <w:pStyle w:val="Body"/>
        <w:ind w:hanging="720" w:start="1440" w:end="0"/>
        <w:rPr>
          <w:rFonts w:cs="Arial"/>
          <w:sz w:val="24"/>
        </w:rPr>
      </w:pPr>
      <w:r>
        <w:rPr>
          <w:rFonts w:cs="Arial"/>
          <w:sz w:val="24"/>
        </w:rPr>
      </w:r>
    </w:p>
    <w:p>
      <w:pPr>
        <w:pStyle w:val="Body"/>
        <w:ind w:start="0" w:end="0"/>
        <w:rPr>
          <w:rFonts w:cs="Arial"/>
          <w:sz w:val="24"/>
          <w:u w:val="single"/>
        </w:rPr>
      </w:pPr>
      <w:r>
        <w:rPr>
          <w:rFonts w:cs="Arial"/>
          <w:sz w:val="24"/>
          <w:u w:val="single"/>
        </w:rPr>
        <w:t>Advocacy Strategy</w:t>
      </w:r>
    </w:p>
    <w:p>
      <w:pPr>
        <w:pStyle w:val="Body"/>
        <w:ind w:start="0" w:end="0"/>
        <w:rPr>
          <w:rFonts w:cs="Arial"/>
          <w:sz w:val="24"/>
          <w:u w:val="single"/>
        </w:rPr>
      </w:pPr>
      <w:r>
        <w:rPr>
          <w:rFonts w:cs="Arial"/>
          <w:sz w:val="24"/>
          <w:u w:val="single"/>
        </w:rPr>
      </w:r>
    </w:p>
    <w:p>
      <w:pPr>
        <w:pStyle w:val="Body"/>
        <w:ind w:start="0" w:end="0"/>
        <w:rPr>
          <w:rFonts w:cs="Arial"/>
          <w:sz w:val="24"/>
        </w:rPr>
      </w:pPr>
      <w:r>
        <w:rPr>
          <w:rFonts w:cs="Arial"/>
          <w:sz w:val="24"/>
        </w:rPr>
        <w:tab/>
        <w:t>•</w:t>
        <w:tab/>
        <w:t>Are utilities permitted to pass volatile spot prices through to customers?</w:t>
      </w:r>
    </w:p>
    <w:p>
      <w:pPr>
        <w:pStyle w:val="Body"/>
        <w:ind w:start="0" w:end="0"/>
        <w:rPr>
          <w:rFonts w:cs="Arial"/>
          <w:sz w:val="24"/>
        </w:rPr>
      </w:pPr>
      <w:r>
        <w:rPr>
          <w:rFonts w:cs="Arial"/>
          <w:sz w:val="24"/>
        </w:rPr>
        <w:tab/>
        <w:t>•</w:t>
        <w:tab/>
        <w:t>Are utilities permitted to make long-term investments in generation?</w:t>
      </w:r>
    </w:p>
    <w:p>
      <w:pPr>
        <w:pStyle w:val="Body"/>
        <w:ind w:hanging="720" w:start="1440" w:end="0"/>
        <w:rPr>
          <w:rFonts w:cs="Arial"/>
          <w:sz w:val="24"/>
        </w:rPr>
      </w:pPr>
      <w:r>
        <w:rPr>
          <w:rFonts w:cs="Arial"/>
          <w:sz w:val="24"/>
        </w:rPr>
        <w:t>•</w:t>
      </w:r>
      <w:r>
        <w:rPr>
          <w:rFonts w:cs="Arial"/>
          <w:sz w:val="24"/>
        </w:rPr>
        <w:tab/>
        <w:t>Can utilities be forced or persuaded  to outsource commodity risk management to third party experts such as Enron?</w:t>
      </w:r>
    </w:p>
    <w:p>
      <w:pPr>
        <w:pStyle w:val="Body"/>
        <w:ind w:hanging="720" w:start="1440" w:end="0"/>
        <w:rPr>
          <w:rFonts w:cs="Arial"/>
          <w:sz w:val="24"/>
        </w:rPr>
      </w:pPr>
      <w:r>
        <w:rPr>
          <w:rFonts w:cs="Arial"/>
          <w:sz w:val="24"/>
        </w:rPr>
        <w:t>•</w:t>
      </w:r>
      <w:r>
        <w:rPr>
          <w:rFonts w:cs="Arial"/>
          <w:sz w:val="24"/>
        </w:rPr>
        <w:tab/>
        <w:t>Can utilities be forced or persuaded to deliver third party services to their customers such as Enron’s customized commodities and demand-side services?</w:t>
      </w:r>
    </w:p>
    <w:p>
      <w:pPr>
        <w:pStyle w:val="Body"/>
        <w:ind w:hanging="720" w:start="1440" w:end="0"/>
        <w:rPr>
          <w:rFonts w:cs="Arial"/>
          <w:sz w:val="24"/>
        </w:rPr>
      </w:pPr>
      <w:r>
        <w:rPr>
          <w:rFonts w:cs="Arial"/>
          <w:sz w:val="24"/>
        </w:rPr>
        <w:t>•</w:t>
      </w:r>
      <w:r>
        <w:rPr>
          <w:rFonts w:cs="Arial"/>
          <w:sz w:val="24"/>
        </w:rPr>
        <w:tab/>
        <w:t xml:space="preserve"> Can policymakers be made to accept the need for third party services to protect customers from volatility at one extreme and stranded costs at the other?</w:t>
      </w:r>
    </w:p>
    <w:p>
      <w:pPr>
        <w:pStyle w:val="Body"/>
        <w:rPr>
          <w:rFonts w:cs="Arial"/>
          <w:sz w:val="24"/>
        </w:rPr>
      </w:pPr>
      <w:r>
        <w:rPr>
          <w:rFonts w:cs="Arial"/>
          <w:sz w:val="24"/>
        </w:rPr>
      </w:r>
    </w:p>
    <w:p>
      <w:pPr>
        <w:pStyle w:val="Body"/>
        <w:rPr>
          <w:rFonts w:cs="Arial"/>
          <w:sz w:val="24"/>
        </w:rPr>
      </w:pPr>
      <w:r>
        <w:rPr>
          <w:rFonts w:cs="Arial"/>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6" name="Frame2"/>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2001-03-27T11:09:00Z</dcterms:created>
  <dc:creator>ees</dc:creator>
  <dc:description/>
  <dc:language>en-CA</dc:language>
  <cp:lastModifiedBy>Dan Allegretti</cp:lastModifiedBy>
  <cp:lastPrinted>2000-03-06T10:57:00Z</cp:lastPrinted>
  <dcterms:modified xsi:type="dcterms:W3CDTF">2001-03-27T11:09:00Z</dcterms:modified>
  <cp:revision>2</cp:revision>
  <dc:subject/>
  <dc:title>Eron Capital &amp; Trade Resources Memo</dc:title>
</cp:coreProperties>
</file>