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w:t>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April 24, 2001</w:t>
      </w:r>
    </w:p>
    <w:p>
      <w:pPr>
        <w:pStyle w:val="Normal"/>
        <w:rPr>
          <w:sz w:val="22"/>
        </w:rPr>
      </w:pPr>
      <w:r>
        <w:rPr>
          <w:sz w:val="22"/>
        </w:rPr>
        <w:t>To:</w:t>
        <w:tab/>
        <w:tab/>
        <w:t>Merchant Energy Group of the Americas, Inc. ("Party B")</w:t>
      </w:r>
    </w:p>
    <w:p>
      <w:pPr>
        <w:pStyle w:val="Normal"/>
        <w:rPr>
          <w:sz w:val="22"/>
        </w:rPr>
      </w:pPr>
      <w:r>
        <w:rPr>
          <w:sz w:val="22"/>
        </w:rPr>
        <w:t>Attention:</w:t>
        <w:tab/>
      </w:r>
    </w:p>
    <w:p>
      <w:pPr>
        <w:pStyle w:val="Normal"/>
        <w:rPr>
          <w:sz w:val="22"/>
        </w:rPr>
      </w:pPr>
      <w:r>
        <w:rPr>
          <w:sz w:val="22"/>
        </w:rPr>
        <w:t>Fax No.:</w:t>
        <w:tab/>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May 14, 1998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b/>
          <w:sz w:val="22"/>
        </w:rPr>
      </w:pPr>
      <w:r>
        <w:rPr>
          <w:b/>
          <w:sz w:val="22"/>
        </w:rPr>
        <w:t>Floating Amount A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26,760 MMBtu per day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 A:</w:t>
            </w:r>
          </w:p>
        </w:tc>
        <w:tc>
          <w:tcPr>
            <w:tcW w:w="6102" w:type="dxa"/>
            <w:tcBorders/>
          </w:tcPr>
          <w:p>
            <w:pPr>
              <w:pStyle w:val="Normal"/>
              <w:rPr>
                <w:sz w:val="22"/>
              </w:rPr>
            </w:pPr>
            <w:r>
              <w:rPr>
                <w:sz w:val="22"/>
              </w:rPr>
              <w:t>2,435,160 MMBtu</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Natural Gas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MMBtu (One Million British Thermal Units)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snapToGrid w:val="false"/>
              <w:ind w:hanging="18" w:end="0"/>
              <w:rPr>
                <w:sz w:val="22"/>
              </w:rPr>
            </w:pPr>
            <w:r>
              <w:rPr>
                <w:sz w:val="22"/>
              </w:rPr>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1,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November 30,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September 1, 2001 and ending on November 30, 2001.</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A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 A:</w:t>
            </w:r>
          </w:p>
        </w:tc>
        <w:tc>
          <w:tcPr>
            <w:tcW w:w="6102" w:type="dxa"/>
            <w:tcBorders/>
          </w:tcPr>
          <w:p>
            <w:pPr>
              <w:pStyle w:val="Normal"/>
              <w:rPr>
                <w:sz w:val="22"/>
              </w:rPr>
            </w:pPr>
            <w:r>
              <w:rPr>
                <w:sz w:val="22"/>
              </w:rPr>
              <w:t>Party 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t>Floating Price A:</w:t>
            </w:r>
          </w:p>
        </w:tc>
        <w:tc>
          <w:tcPr>
            <w:tcW w:w="6102" w:type="dxa"/>
            <w:tcBorders/>
          </w:tcPr>
          <w:p>
            <w:pPr>
              <w:pStyle w:val="Normal"/>
              <w:snapToGrid w:val="false"/>
              <w:jc w:val="both"/>
              <w:rPr>
                <w:sz w:val="22"/>
              </w:rPr>
            </w:pPr>
            <w:r>
              <w:rPr>
                <w:sz w:val="22"/>
              </w:rPr>
            </w:r>
          </w:p>
          <w:p>
            <w:pPr>
              <w:pStyle w:val="BodyText"/>
              <w:rPr/>
            </w:pPr>
            <w:r>
              <w:rPr/>
              <w:t xml:space="preserve">The Midpoint price published on each calendar day during the Calculation Period under the heading "Daily Price Survey" in the Canadian Gas: NW Sumas section of Gas Daily, or if </w:t>
            </w:r>
          </w:p>
          <w:p>
            <w:pPr>
              <w:pStyle w:val="Normal"/>
              <w:jc w:val="both"/>
              <w:rPr>
                <w:sz w:val="22"/>
              </w:rPr>
            </w:pPr>
            <w:r>
              <w:rPr>
                <w:color w:val="000000"/>
                <w:sz w:val="22"/>
                <w:lang w:eastAsia="en-US"/>
              </w:rPr>
              <w:t>a calendar day is not a Business Day then the price for such calendar day will be the Midpoint price published on the next Business Day.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Floating Amount A:</w:t>
            </w:r>
          </w:p>
        </w:tc>
        <w:tc>
          <w:tcPr>
            <w:tcW w:w="6102" w:type="dxa"/>
            <w:tcBorders/>
          </w:tcPr>
          <w:p>
            <w:pPr>
              <w:pStyle w:val="Normal"/>
              <w:jc w:val="both"/>
              <w:rPr>
                <w:sz w:val="22"/>
              </w:rPr>
            </w:pPr>
            <w:r>
              <w:rPr>
                <w:sz w:val="22"/>
              </w:rPr>
              <w:t>For each Calculation Period $_____ plus the product of the Floating Price A multiplied by the Total Notional Quantity A attributable to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bl>
    <w:p>
      <w:pPr>
        <w:pStyle w:val="Normal"/>
        <w:rPr>
          <w:b/>
          <w:sz w:val="22"/>
        </w:rPr>
      </w:pPr>
      <w:r>
        <w:rPr>
          <w:b/>
          <w:sz w:val="22"/>
        </w:rPr>
        <w:t>Floating Amount B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100 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 B:</w:t>
            </w:r>
          </w:p>
        </w:tc>
        <w:tc>
          <w:tcPr>
            <w:tcW w:w="6102" w:type="dxa"/>
            <w:tcBorders/>
          </w:tcPr>
          <w:p>
            <w:pPr>
              <w:pStyle w:val="Normal"/>
              <w:rPr>
                <w:sz w:val="22"/>
              </w:rPr>
            </w:pPr>
            <w:r>
              <w:rPr>
                <w:sz w:val="22"/>
              </w:rPr>
              <w:t>218,400 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MWh (Megawatt hours)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snapToGrid w:val="false"/>
              <w:ind w:hanging="18" w:end="0"/>
              <w:rPr>
                <w:sz w:val="22"/>
              </w:rPr>
            </w:pPr>
            <w:r>
              <w:rPr>
                <w:sz w:val="22"/>
              </w:rPr>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1,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November 30,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September 1, 2001 and ending on November 30, 2001.</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B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Payer B:</w:t>
            </w:r>
          </w:p>
        </w:tc>
        <w:tc>
          <w:tcPr>
            <w:tcW w:w="6102" w:type="dxa"/>
            <w:tcBorders/>
          </w:tcPr>
          <w:p>
            <w:pPr>
              <w:pStyle w:val="Normal"/>
              <w:rPr>
                <w:sz w:val="22"/>
              </w:rPr>
            </w:pPr>
            <w:r>
              <w:rPr>
                <w:sz w:val="22"/>
              </w:rPr>
              <w:t>Party 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B:</w:t>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2"/>
                <w:u w:val="single"/>
                <w:lang w:val="en-CA"/>
              </w:rPr>
              <w:t>On-Peak hours</w:t>
            </w:r>
            <w:r>
              <w:rPr>
                <w:sz w:val="22"/>
                <w:lang w:val="en-CA"/>
              </w:rPr>
              <w:t>:  HE 0700 through HE 2200 PPT, Monday through Saturday only, excluding NERC holidays.  The average of  the daily day-ahead prices listed in the Dow Jones Mid-Columbia Electricity Price Index entitled “</w:t>
            </w:r>
            <w:r>
              <w:rPr>
                <w:b/>
                <w:sz w:val="22"/>
                <w:lang w:val="en-CA"/>
              </w:rPr>
              <w:t>DJ-Mid C Daily Index:  Firm On-Peak:  Index</w:t>
            </w:r>
            <w:r>
              <w:rPr>
                <w:sz w:val="22"/>
                <w:lang w:val="en-CA"/>
              </w:rPr>
              <w:t>” as published by Dow Jones Telerate (Telerate page 38424) for power delivered during On-Peak Hours during the applicable Calculation Period.</w:t>
            </w:r>
          </w:p>
          <w:p>
            <w:pPr>
              <w:pStyle w:val="Normal"/>
              <w:rPr>
                <w:sz w:val="22"/>
              </w:rPr>
            </w:pPr>
            <w:r>
              <w:rPr>
                <w:sz w:val="22"/>
                <w:u w:val="single"/>
                <w:lang w:val="en-CA"/>
              </w:rPr>
              <w:t>Off-Peak hours</w:t>
            </w:r>
            <w:r>
              <w:rPr>
                <w:sz w:val="22"/>
                <w:lang w:val="en-CA"/>
              </w:rPr>
              <w:t>: HE 0100 through HE 0600, HE 2300 through HE 2400 PPT, Monday through Saturday only, excluding NERC holidays, and HE 0100 through HE 2400 PPT, Sundays and NERC holidays.  The hourly-weighted average of ( i ) the average of the daily day-ahead prices listed in the Dow Jones Mid-Columbia Electricity Price Index entitled “</w:t>
            </w:r>
            <w:r>
              <w:rPr>
                <w:b/>
                <w:sz w:val="22"/>
                <w:lang w:val="en-CA"/>
              </w:rPr>
              <w:t>DJ-Mid C Daily Index:  Firm Off-Peak:  Index</w:t>
            </w:r>
            <w:r>
              <w:rPr>
                <w:sz w:val="22"/>
                <w:lang w:val="en-CA"/>
              </w:rPr>
              <w:t>” as published by Dow Jones Telerate (Telerate page 38424) for power delivered during Off-Peak Hours on a day that is a Monday through Saturday, excluding NERC holidays, during the applicable Calculation Period and (ii ) the average of the daily day-ahead prices listed in the Dow Jones Mid-Columbia Electricity Price Index entitled the “</w:t>
            </w:r>
            <w:r>
              <w:rPr>
                <w:b/>
                <w:sz w:val="22"/>
                <w:lang w:val="en-CA"/>
              </w:rPr>
              <w:t>DJ Mid-C Sunday 24 Hour Firm Index</w:t>
            </w:r>
            <w:r>
              <w:rPr>
                <w:sz w:val="22"/>
                <w:lang w:val="en-CA"/>
              </w:rPr>
              <w:t>” as published by the Dow Jones Telerate (Telerate page 38424) for power delivered during Off-Peak Hours on each day that is a Sunday or NERC holiday during the applicable Calculation Period.</w:t>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t>Enron North America Corp.</w:t>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By:  _________________________</w:t>
            </w:r>
          </w:p>
          <w:p>
            <w:pPr>
              <w:pStyle w:val="Normal"/>
              <w:keepLines/>
              <w:rPr>
                <w:sz w:val="22"/>
              </w:rPr>
            </w:pPr>
            <w:r>
              <w:rPr>
                <w:sz w:val="22"/>
              </w:rPr>
              <w:t>Name: _______________________</w:t>
            </w:r>
          </w:p>
          <w:p>
            <w:pPr>
              <w:pStyle w:val="Normal"/>
              <w:keepLines/>
              <w:rPr>
                <w:sz w:val="22"/>
              </w:rPr>
            </w:pPr>
            <w:r>
              <w:rPr>
                <w:sz w:val="22"/>
              </w:rPr>
              <w:t xml:space="preserve">Title:   _______________________ </w:t>
            </w:r>
          </w:p>
        </w:tc>
        <w:tc>
          <w:tcPr>
            <w:tcW w:w="5292" w:type="dxa"/>
            <w:tcBorders/>
          </w:tcPr>
          <w:p>
            <w:pPr>
              <w:pStyle w:val="Normal"/>
              <w:keepLines/>
              <w:rPr>
                <w:sz w:val="22"/>
              </w:rPr>
            </w:pPr>
            <w:r>
              <w:rPr>
                <w:sz w:val="22"/>
              </w:rPr>
              <w:t xml:space="preserve">Deal No.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Merchant Energy Group of the Americas, Inc.</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DRAFT</w:t>
    </w: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2001-04-24T14:38:00Z</dcterms:created>
  <dc:creator>EOL#</dc:creator>
  <dc:description/>
  <dc:language>en-CA</dc:language>
  <cp:lastModifiedBy>mmurphy</cp:lastModifiedBy>
  <dcterms:modified xsi:type="dcterms:W3CDTF">2001-04-24T14:38:00Z</dcterms:modified>
  <cp:revision>2</cp:revision>
  <dc:subject/>
  <dc:title> </dc:title>
</cp:coreProperties>
</file>