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February 28, 2001</w:t>
      </w:r>
    </w:p>
    <w:p>
      <w:pPr>
        <w:pStyle w:val="Normal"/>
        <w:widowControl/>
        <w:jc w:val="both"/>
        <w:rPr>
          <w:sz w:val="20"/>
        </w:rPr>
      </w:pPr>
      <w:r>
        <w:rPr>
          <w:sz w:val="20"/>
        </w:rPr>
      </w:r>
    </w:p>
    <w:p>
      <w:pPr>
        <w:pStyle w:val="Normal"/>
        <w:widowControl/>
        <w:jc w:val="both"/>
        <w:rPr>
          <w:sz w:val="20"/>
        </w:rPr>
      </w:pPr>
      <w:r>
        <w:rPr>
          <w:sz w:val="20"/>
        </w:rPr>
        <w:t xml:space="preserve">To: </w:t>
        <w:tab/>
        <w:tab/>
        <w:t>ENA Merchant Assets (“Party B”)</w:t>
      </w:r>
    </w:p>
    <w:p>
      <w:pPr>
        <w:pStyle w:val="Normal"/>
        <w:widowControl/>
        <w:jc w:val="both"/>
        <w:rPr>
          <w:sz w:val="20"/>
        </w:rPr>
      </w:pPr>
      <w:r>
        <w:rPr>
          <w:sz w:val="20"/>
        </w:rPr>
      </w:r>
    </w:p>
    <w:p>
      <w:pPr>
        <w:pStyle w:val="Normal"/>
        <w:widowControl/>
        <w:jc w:val="both"/>
        <w:rPr>
          <w:sz w:val="20"/>
        </w:rPr>
      </w:pPr>
      <w:r>
        <w:rPr>
          <w:sz w:val="20"/>
        </w:rPr>
        <w:t>Attention:</w:t>
        <w:tab/>
        <w:t>Brian Kerrigan</w:t>
      </w:r>
    </w:p>
    <w:p>
      <w:pPr>
        <w:pStyle w:val="Normal"/>
        <w:widowControl/>
        <w:jc w:val="both"/>
        <w:rPr>
          <w:sz w:val="20"/>
        </w:rPr>
      </w:pPr>
      <w:r>
        <w:rPr>
          <w:sz w:val="20"/>
        </w:rPr>
      </w:r>
    </w:p>
    <w:p>
      <w:pPr>
        <w:pStyle w:val="Normal"/>
        <w:widowControl/>
        <w:jc w:val="both"/>
        <w:rPr>
          <w:sz w:val="20"/>
        </w:rPr>
      </w:pPr>
      <w:r>
        <w:rPr>
          <w:sz w:val="20"/>
        </w:rPr>
        <w:t>From:</w:t>
        <w:tab/>
        <w:tab/>
        <w:t>ENA Rate &amp; Currency Trading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M412341</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February 28, 2001</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March 30, 2001</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February 15, 2008,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15</w:t>
            </w:r>
            <w:r>
              <w:rPr>
                <w:vertAlign w:val="superscript"/>
              </w:rPr>
              <w:t>th</w:t>
            </w:r>
            <w:r>
              <w:rPr/>
              <w:t xml:space="preserve"> of each May, August, November and February from and including May 15, 2001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5.4475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30/360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15</w:t>
            </w:r>
            <w:r>
              <w:rPr>
                <w:vertAlign w:val="superscript"/>
              </w:rPr>
              <w:t>th</w:t>
            </w:r>
            <w:r>
              <w:rPr/>
              <w:t xml:space="preserve"> of each May, August, November and February from and including May 15, 2001 to and including the Termination Date, subject to adjustment in accordance with the Modified Following Business Day Convention</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Normal"/>
        <w:widowControl/>
        <w:jc w:val="both"/>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2. Calculation Agent:</w:t>
            </w:r>
          </w:p>
        </w:tc>
        <w:tc>
          <w:tcPr>
            <w:tcW w:w="5328" w:type="dxa"/>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Account Details:</w:t>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tcBorders/>
          </w:tcPr>
          <w:p>
            <w:pPr>
              <w:pStyle w:val="Normal"/>
              <w:widowControl/>
              <w:spacing w:before="60" w:after="0"/>
              <w:jc w:val="both"/>
              <w:rPr>
                <w:sz w:val="20"/>
              </w:rPr>
            </w:pPr>
            <w:r>
              <w:rPr>
                <w:sz w:val="20"/>
              </w:rPr>
              <w:t>Bank of America,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3751443337</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tcBorders/>
          </w:tcPr>
          <w:p>
            <w:pPr>
              <w:pStyle w:val="Normal"/>
              <w:widowControl/>
              <w:spacing w:before="60" w:after="0"/>
              <w:jc w:val="both"/>
              <w:rPr>
                <w:sz w:val="20"/>
              </w:rPr>
            </w:pPr>
            <w:r>
              <w:rPr>
                <w:sz w:val="20"/>
              </w:rPr>
              <w:t>State of Texas</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rPr>
          <w:sz w:val="20"/>
        </w:rPr>
      </w:pPr>
      <w:r>
        <w:rPr>
          <w:sz w:val="20"/>
        </w:rPr>
      </w:r>
    </w:p>
    <w:p>
      <w:pPr>
        <w:pStyle w:val="Normal"/>
        <w:jc w:val="both"/>
        <w:rPr>
          <w:sz w:val="20"/>
        </w:rPr>
      </w:pPr>
      <w:r>
        <w:rPr>
          <w:sz w:val="20"/>
        </w:rPr>
        <w:t>Party B identifies this Transaction as a hedging transaction for federal income tax purposes.  Party B hereby identifies the Interest Rate in the Underlying Instrument and Notional Amount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ENA Rate &amp; Currency Trading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ENA Rate &amp; Currency Trading</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ENA Merchant Assets</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30, 2001—May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44,915,778.44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2001—August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43,940,344.15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2001—November 15,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42,927,186.22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2001—February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41,875,409.00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2002—May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40,784,098.58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2002—August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39,652,322.46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2002—November 15,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38,479,129.23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2002—February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37,263,548.16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2003—May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36,004,588.86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2003—August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34,701,240.93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2003—November 15,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33,352,473.55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2003—February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31,957,235.10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2004—May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30,514,452.80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2004—August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29,023,032.25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2004--November 15,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27,481,857.11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2004—February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25,889,788.61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2005—May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24,245,665.17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2005—August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22,548,301.95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2005—November 15,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20,796,490.44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2005—February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18,988,997.99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2006—May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17,124,567.39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2006—August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15,201,916.38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2006—November 15, 2006</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13,219,737.20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2006—February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11,176,696.09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15, 2007—May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9,071,432.85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15, 2007—August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6,902,560.296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15, 2007—November 15, 2007</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4,668,663.792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15, 2007—February 15, 2008</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2,368,300.73</w:t>
            </w:r>
          </w:p>
        </w:tc>
      </w:tr>
    </w:tbl>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M412341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2001-03-07T18:35:00Z</dcterms:created>
  <dc:creator>ECT</dc:creator>
  <dc:description/>
  <dc:language>en-CA</dc:language>
  <cp:lastModifiedBy>ladams</cp:lastModifiedBy>
  <cp:lastPrinted>2000-01-06T08:55:00Z</cp:lastPrinted>
  <dcterms:modified xsi:type="dcterms:W3CDTF">2001-03-13T19:44:00Z</dcterms:modified>
  <cp:revision>7</cp:revision>
  <dc:subject/>
  <dc:title> 1400 Smith  Houston, TX 77002 (713) 853-3300 Fax (713) 646-4816</dc:title>
</cp:coreProperties>
</file>