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Footer"/>
              <w:tabs>
                <w:tab w:val="clear" w:pos="4320"/>
                <w:tab w:val="clear" w:pos="8640"/>
              </w:tabs>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782" w:end="0"/>
              <w:jc w:val="end"/>
              <w:rPr>
                <w:b/>
                <w:sz w:val="20"/>
              </w:rPr>
            </w:pPr>
            <w:r>
              <w:rPr>
                <w:b/>
                <w:sz w:val="20"/>
              </w:rPr>
              <w:t>Enron North America Corp.</w:t>
            </w:r>
          </w:p>
          <w:p>
            <w:pPr>
              <w:pStyle w:val="Normal"/>
              <w:tabs>
                <w:tab w:val="clear" w:pos="720"/>
                <w:tab w:val="left" w:pos="2412" w:leader="none"/>
              </w:tabs>
              <w:ind w:start="1782" w:end="0"/>
              <w:jc w:val="end"/>
              <w:rPr>
                <w:sz w:val="20"/>
              </w:rPr>
            </w:pPr>
            <w:r>
              <w:rPr>
                <w:i/>
                <w:sz w:val="20"/>
              </w:rPr>
              <w:t>P.O. Box 4428</w:t>
            </w:r>
          </w:p>
          <w:p>
            <w:pPr>
              <w:pStyle w:val="Normal"/>
              <w:tabs>
                <w:tab w:val="clear" w:pos="720"/>
                <w:tab w:val="left" w:pos="2412" w:leader="none"/>
              </w:tabs>
              <w:ind w:start="1782" w:end="0"/>
              <w:jc w:val="end"/>
              <w:rPr>
                <w:sz w:val="20"/>
              </w:rPr>
            </w:pPr>
            <w:r>
              <w:rPr>
                <w:i/>
                <w:sz w:val="20"/>
              </w:rPr>
              <w:t>Houston, TX  77210-4428</w:t>
            </w:r>
          </w:p>
          <w:p>
            <w:pPr>
              <w:pStyle w:val="Normal"/>
              <w:tabs>
                <w:tab w:val="clear" w:pos="720"/>
                <w:tab w:val="left" w:pos="2412" w:leader="none"/>
              </w:tabs>
              <w:ind w:start="1782" w:end="0"/>
              <w:jc w:val="end"/>
              <w:rPr>
                <w:sz w:val="20"/>
              </w:rPr>
            </w:pPr>
            <w:r>
              <w:rPr>
                <w:i/>
                <w:sz w:val="20"/>
              </w:rPr>
              <w:t>Phone: (713) 853-3300</w:t>
            </w:r>
          </w:p>
          <w:p>
            <w:pPr>
              <w:pStyle w:val="Normal"/>
              <w:tabs>
                <w:tab w:val="clear" w:pos="720"/>
                <w:tab w:val="left" w:pos="2412" w:leader="none"/>
              </w:tabs>
              <w:ind w:start="1782" w:end="0"/>
              <w:jc w:val="end"/>
              <w:rPr>
                <w:i/>
                <w:i/>
                <w:sz w:val="20"/>
              </w:rPr>
            </w:pPr>
            <w:r>
              <w:rPr>
                <w:i/>
                <w:sz w:val="20"/>
              </w:rPr>
              <w:t>Fax:  (713) 646-4816</w:t>
            </w:r>
          </w:p>
          <w:p>
            <w:pPr>
              <w:pStyle w:val="Normal"/>
              <w:tabs>
                <w:tab w:val="clear" w:pos="720"/>
                <w:tab w:val="left" w:pos="2412" w:leader="none"/>
              </w:tabs>
              <w:ind w:start="1782" w:end="0"/>
              <w:rPr>
                <w:i/>
                <w:i/>
                <w:sz w:val="20"/>
              </w:rPr>
            </w:pPr>
            <w:r>
              <w:rPr>
                <w:i/>
                <w:sz w:val="20"/>
              </w:rPr>
            </w:r>
          </w:p>
        </w:tc>
      </w:tr>
    </w:tbl>
    <w:p>
      <w:pPr>
        <w:pStyle w:val="Caption"/>
        <w:widowControl/>
        <w:ind w:firstLine="720" w:start="720" w:end="0"/>
        <w:rPr>
          <w:sz w:val="20"/>
        </w:rPr>
      </w:pPr>
      <w:r>
        <w:rPr>
          <w:sz w:val="20"/>
        </w:rPr>
        <w:t>CONFIRMATION</w:t>
      </w:r>
      <w:r>
        <mc:AlternateContent>
          <mc:Choice Requires="wps">
            <w:drawing>
              <wp:anchor behindDoc="0" distT="0" distB="0" distL="0" distR="114300" simplePos="0" locked="0" layoutInCell="0" allowOverlap="1" relativeHeight="3">
                <wp:simplePos x="0" y="0"/>
                <wp:positionH relativeFrom="column">
                  <wp:align>left</wp:align>
                </wp:positionH>
                <wp:positionV relativeFrom="paragraph">
                  <wp:posOffset>635</wp:posOffset>
                </wp:positionV>
                <wp:extent cx="1157605" cy="146685"/>
                <wp:effectExtent l="0" t="0" r="0" b="0"/>
                <wp:wrapSquare wrapText="bothSides"/>
                <wp:docPr id="2" name="Frame1"/>
                <a:graphic xmlns:a="http://schemas.openxmlformats.org/drawingml/2006/main">
                  <a:graphicData uri="http://schemas.microsoft.com/office/word/2010/wordprocessingShape">
                    <wps:wsp>
                      <wps:cNvSpPr txBox="1"/>
                      <wps:spPr>
                        <a:xfrm>
                          <a:off x="0" y="0"/>
                          <a:ext cx="1157605" cy="146685"/>
                        </a:xfrm>
                        <a:prstGeom prst="rect"/>
                        <a:solidFill>
                          <a:srgbClr val="FFFFFF">
                            <a:alpha val="0"/>
                          </a:srgbClr>
                        </a:solidFill>
                      </wps:spPr>
                      <wps:txbx>
                        <w:txbxContent>
                          <w:p>
                            <w:pPr>
                              <w:pStyle w:val="Normal"/>
                              <w:widowControl/>
                              <w:ind w:start="1800" w:end="0"/>
                              <w:jc w:val="center"/>
                              <w:rPr>
                                <w:sz w:val="20"/>
                              </w:rPr>
                            </w:pPr>
                            <w:r>
                              <w:rPr>
                                <w:sz w:val="20"/>
                              </w:rPr>
                            </w:r>
                          </w:p>
                        </w:txbxContent>
                      </wps:txbx>
                      <wps:bodyPr anchor="t" lIns="0" tIns="0" rIns="0" bIns="0">
                        <a:noAutofit/>
                      </wps:bodyPr>
                    </wps:wsp>
                  </a:graphicData>
                </a:graphic>
              </wp:anchor>
            </w:drawing>
          </mc:Choice>
          <mc:Fallback>
            <w:pict>
              <v:rect fillcolor="#FFFFFF" style="position:absolute;rotation:-0;width:91.15pt;height:11.55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widowControl/>
                        <w:ind w:start="1800" w:end="0"/>
                        <w:jc w:val="center"/>
                        <w:rPr>
                          <w:sz w:val="20"/>
                        </w:rPr>
                      </w:pPr>
                      <w:r>
                        <w:rPr>
                          <w:sz w:val="20"/>
                        </w:rPr>
                      </w:r>
                    </w:p>
                  </w:txbxContent>
                </v:textbox>
                <w10:wrap type="square"/>
              </v:rect>
            </w:pict>
          </mc:Fallback>
        </mc:AlternateContent>
      </w:r>
    </w:p>
    <w:p>
      <w:pPr>
        <w:pStyle w:val="Normal"/>
        <w:widowControl/>
        <w:rPr>
          <w:b/>
          <w:sz w:val="20"/>
          <w:u w:val="single"/>
        </w:rPr>
      </w:pPr>
      <w:r>
        <w:rPr>
          <w:b/>
          <w:sz w:val="20"/>
          <w:u w:val="single"/>
        </w:rPr>
      </w:r>
    </w:p>
    <w:p>
      <w:pPr>
        <w:pStyle w:val="Normal"/>
        <w:widowControl/>
        <w:rPr>
          <w:b/>
          <w:sz w:val="20"/>
          <w:u w:val="single"/>
        </w:rPr>
      </w:pPr>
      <w:r>
        <w:rPr>
          <w:b/>
          <w:sz w:val="20"/>
          <w:u w:val="single"/>
        </w:rPr>
      </w:r>
    </w:p>
    <w:p>
      <w:pPr>
        <w:pStyle w:val="Normal"/>
        <w:widowControl/>
        <w:jc w:val="both"/>
        <w:rPr>
          <w:sz w:val="20"/>
        </w:rPr>
      </w:pPr>
      <w:r>
        <w:rPr>
          <w:sz w:val="20"/>
        </w:rPr>
        <w:t>Date:</w:t>
        <w:tab/>
        <w:tab/>
        <w:t>February 28, 2001</w:t>
      </w:r>
    </w:p>
    <w:p>
      <w:pPr>
        <w:pStyle w:val="Normal"/>
        <w:widowControl/>
        <w:jc w:val="both"/>
        <w:rPr>
          <w:sz w:val="20"/>
        </w:rPr>
      </w:pPr>
      <w:r>
        <w:rPr>
          <w:sz w:val="20"/>
        </w:rPr>
      </w:r>
    </w:p>
    <w:p>
      <w:pPr>
        <w:pStyle w:val="Normal"/>
        <w:widowControl/>
        <w:jc w:val="both"/>
        <w:rPr>
          <w:sz w:val="20"/>
        </w:rPr>
      </w:pPr>
      <w:r>
        <w:rPr>
          <w:sz w:val="20"/>
        </w:rPr>
        <w:t xml:space="preserve">To: </w:t>
        <w:tab/>
        <w:tab/>
        <w:t>ENA Merchant Assets (“Party B”)</w:t>
      </w:r>
    </w:p>
    <w:p>
      <w:pPr>
        <w:pStyle w:val="Normal"/>
        <w:widowControl/>
        <w:jc w:val="both"/>
        <w:rPr>
          <w:sz w:val="20"/>
        </w:rPr>
      </w:pPr>
      <w:r>
        <w:rPr>
          <w:sz w:val="20"/>
        </w:rPr>
      </w:r>
    </w:p>
    <w:p>
      <w:pPr>
        <w:pStyle w:val="Normal"/>
        <w:widowControl/>
        <w:jc w:val="both"/>
        <w:rPr>
          <w:sz w:val="20"/>
        </w:rPr>
      </w:pPr>
      <w:r>
        <w:rPr>
          <w:sz w:val="20"/>
        </w:rPr>
        <w:t>Attention:</w:t>
        <w:tab/>
        <w:t>Brian Kerrigan</w:t>
      </w:r>
    </w:p>
    <w:p>
      <w:pPr>
        <w:pStyle w:val="Normal"/>
        <w:widowControl/>
        <w:jc w:val="both"/>
        <w:rPr>
          <w:sz w:val="20"/>
        </w:rPr>
      </w:pPr>
      <w:r>
        <w:rPr>
          <w:sz w:val="20"/>
        </w:rPr>
      </w:r>
    </w:p>
    <w:p>
      <w:pPr>
        <w:pStyle w:val="Normal"/>
        <w:widowControl/>
        <w:jc w:val="both"/>
        <w:rPr>
          <w:sz w:val="20"/>
        </w:rPr>
      </w:pPr>
      <w:r>
        <w:rPr>
          <w:sz w:val="20"/>
        </w:rPr>
        <w:t>From:</w:t>
        <w:tab/>
        <w:tab/>
        <w:t>ENA Rate &amp; Currency Trading (“Party A”)</w:t>
      </w:r>
    </w:p>
    <w:p>
      <w:pPr>
        <w:pStyle w:val="Normal"/>
        <w:widowControl/>
        <w:jc w:val="both"/>
        <w:rPr>
          <w:sz w:val="20"/>
        </w:rPr>
      </w:pPr>
      <w:r>
        <w:rPr>
          <w:sz w:val="20"/>
        </w:rPr>
      </w:r>
    </w:p>
    <w:p>
      <w:pPr>
        <w:pStyle w:val="Normal"/>
        <w:widowControl/>
        <w:jc w:val="both"/>
        <w:rPr/>
      </w:pPr>
      <w:r>
        <w:rPr>
          <w:sz w:val="20"/>
        </w:rPr>
        <w:t>RE:</w:t>
        <w:tab/>
        <w:tab/>
        <w:t xml:space="preserve">Swap Transaction; Deal No. </w:t>
      </w:r>
      <w:r>
        <w:rPr>
          <w:color w:val="FF0000"/>
          <w:sz w:val="20"/>
        </w:rPr>
        <w:t>M412259</w:t>
      </w:r>
    </w:p>
    <w:p>
      <w:pPr>
        <w:pStyle w:val="Normal"/>
        <w:widowControl/>
        <w:jc w:val="both"/>
        <w:rPr>
          <w:color w:val="FF0000"/>
          <w:sz w:val="20"/>
        </w:rPr>
      </w:pPr>
      <w:r>
        <w:rPr>
          <w:color w:val="FF0000"/>
          <w:sz w:val="20"/>
        </w:rPr>
      </w:r>
    </w:p>
    <w:p>
      <w:pPr>
        <w:pStyle w:val="Normal"/>
        <w:widowControl/>
        <w:jc w:val="both"/>
        <w:rPr>
          <w:sz w:val="20"/>
        </w:rPr>
      </w:pPr>
      <w:r>
        <w:rPr>
          <w:sz w:val="20"/>
        </w:rPr>
        <w:t>The purpose of this letter agreement (this “Confirmation”) is to confirm the terms and conditions of the Transaction entered into between us on the Trade Date specified below (the “Transaction”). The definitions and provisions contained in the 1991 ISDA Definitions (as supplemented by the 1998 Supplement) (as published by the International Swaps and Derivatives Association, Inc.) are incorporated into this Confirmation.  In the event of any inconsistency between those definitions and provisions and this Confirmation, this Confirmation will govern.</w:t>
      </w:r>
    </w:p>
    <w:p>
      <w:pPr>
        <w:pStyle w:val="Normal"/>
        <w:widowControl/>
        <w:jc w:val="both"/>
        <w:rPr>
          <w:sz w:val="20"/>
        </w:rPr>
      </w:pPr>
      <w:r>
        <w:rPr>
          <w:sz w:val="20"/>
        </w:rPr>
      </w:r>
    </w:p>
    <w:p>
      <w:pPr>
        <w:pStyle w:val="Normal"/>
        <w:widowControl/>
        <w:jc w:val="both"/>
        <w:rPr>
          <w:sz w:val="20"/>
        </w:rPr>
      </w:pPr>
      <w:r>
        <w:rPr>
          <w:sz w:val="20"/>
        </w:rPr>
        <w:t>1.</w:t>
        <w:tab/>
        <w:t>The terms of the particular Transaction to which this Confirmation relates are as follows:</w:t>
      </w:r>
    </w:p>
    <w:p>
      <w:pPr>
        <w:pStyle w:val="Normal"/>
        <w:widowControl/>
        <w:jc w:val="both"/>
        <w:rPr>
          <w:sz w:val="20"/>
        </w:rPr>
      </w:pPr>
      <w:r>
        <w:rPr>
          <w:sz w:val="20"/>
        </w:rPr>
      </w:r>
    </w:p>
    <w:p>
      <w:pPr>
        <w:pStyle w:val="BodyTextIndent"/>
        <w:widowControl/>
        <w:ind w:start="0" w:end="0"/>
        <w:rPr>
          <w:b/>
        </w:rPr>
      </w:pPr>
      <w:r>
        <w:rPr>
          <w:b/>
        </w:rPr>
        <w:t>General Terms:</w:t>
        <w:tab/>
      </w:r>
    </w:p>
    <w:p>
      <w:pPr>
        <w:pStyle w:val="BodyTextIndent"/>
        <w:widowControl/>
        <w:rPr>
          <w:b/>
        </w:rPr>
      </w:pPr>
      <w:r>
        <w:rPr>
          <w:b/>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ind w:firstLine="720" w:start="0" w:end="0"/>
              <w:rPr/>
            </w:pPr>
            <w:r>
              <w:rPr/>
              <w:t xml:space="preserve">Notional Amount: </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For each Calculation Period, the amount set forth in Exhibit I attached hereto opposite such Calculation Period and under the heading ‘Notional Amount”</w:t>
            </w:r>
          </w:p>
        </w:tc>
      </w:tr>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ind w:firstLine="720" w:start="0" w:end="0"/>
              <w:rPr/>
            </w:pPr>
            <w:r>
              <w:rPr/>
              <w:t xml:space="preserve">Trade Date: </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February 28, 2001</w:t>
            </w:r>
          </w:p>
        </w:tc>
      </w:tr>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ind w:firstLine="720" w:start="0" w:end="0"/>
              <w:rPr/>
            </w:pPr>
            <w:r>
              <w:rPr/>
              <w:t>Effective Date:</w:t>
              <w:tab/>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March 30, 2001</w:t>
            </w:r>
          </w:p>
        </w:tc>
      </w:tr>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ind w:firstLine="720" w:start="0" w:end="0"/>
              <w:rPr/>
            </w:pPr>
            <w:r>
              <w:rPr/>
              <w:t>Termination Date:</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February 15, 2008, subject to adjustment in accordance with the Modified Following Business Day Convention</w:t>
            </w:r>
          </w:p>
        </w:tc>
      </w:tr>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bl>
    <w:p>
      <w:pPr>
        <w:pStyle w:val="BodyTextIndent"/>
        <w:widowControl/>
        <w:tabs>
          <w:tab w:val="left" w:pos="90" w:leader="none"/>
          <w:tab w:val="left" w:pos="2160" w:leader="none"/>
          <w:tab w:val="left" w:pos="4140" w:leader="none"/>
          <w:tab w:val="left" w:pos="4320" w:leader="none"/>
          <w:tab w:val="left" w:pos="6480" w:leader="none"/>
        </w:tabs>
        <w:ind w:start="-90" w:end="0"/>
        <w:rPr>
          <w:b/>
        </w:rPr>
      </w:pPr>
      <w:r>
        <w:rPr>
          <w:b/>
        </w:rPr>
      </w:r>
    </w:p>
    <w:p>
      <w:pPr>
        <w:pStyle w:val="BodyTextIndent"/>
        <w:widowControl/>
        <w:tabs>
          <w:tab w:val="left" w:pos="90" w:leader="none"/>
          <w:tab w:val="left" w:pos="2160" w:leader="none"/>
          <w:tab w:val="left" w:pos="4140" w:leader="none"/>
          <w:tab w:val="left" w:pos="4320" w:leader="none"/>
          <w:tab w:val="left" w:pos="6480" w:leader="none"/>
        </w:tabs>
        <w:ind w:start="-90" w:end="0"/>
        <w:rPr>
          <w:b/>
        </w:rPr>
      </w:pPr>
      <w:r>
        <w:rPr>
          <w:b/>
        </w:rPr>
        <w:t xml:space="preserve">Fixed Amounts: </w:t>
      </w:r>
    </w:p>
    <w:p>
      <w:pPr>
        <w:pStyle w:val="BodyTextIndent"/>
        <w:widowControl/>
        <w:tabs>
          <w:tab w:val="left" w:pos="90" w:leader="none"/>
          <w:tab w:val="left" w:pos="2160" w:leader="none"/>
          <w:tab w:val="left" w:pos="4140" w:leader="none"/>
          <w:tab w:val="left" w:pos="6480" w:leader="none"/>
        </w:tabs>
        <w:ind w:hanging="720" w:start="0" w:end="0"/>
        <w:rPr/>
      </w:pPr>
      <w:r>
        <w:rPr/>
        <w:tab/>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Indent"/>
              <w:widowControl/>
              <w:tabs>
                <w:tab w:val="left" w:pos="90" w:leader="none"/>
                <w:tab w:val="left" w:pos="2160" w:leader="none"/>
                <w:tab w:val="left" w:pos="4140" w:leader="none"/>
                <w:tab w:val="left" w:pos="6480" w:leader="none"/>
              </w:tabs>
              <w:ind w:firstLine="720" w:start="0" w:end="0"/>
              <w:rPr/>
            </w:pPr>
            <w:r>
              <w:rPr/>
              <w:t>Fixed Rate Payer:</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Party B</w:t>
            </w:r>
          </w:p>
        </w:tc>
      </w:tr>
      <w:tr>
        <w:trPr/>
        <w:tc>
          <w:tcPr>
            <w:tcW w:w="4428" w:type="dxa"/>
            <w:tcBorders/>
          </w:tcPr>
          <w:p>
            <w:pPr>
              <w:pStyle w:val="BodyTextIndent"/>
              <w:widowControl/>
              <w:tabs>
                <w:tab w:val="left" w:pos="9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left" w:pos="90" w:leader="none"/>
                <w:tab w:val="left" w:pos="2160" w:leader="none"/>
                <w:tab w:val="left" w:pos="4140" w:leader="none"/>
                <w:tab w:val="left" w:pos="6480" w:leader="none"/>
              </w:tabs>
              <w:ind w:firstLine="720" w:start="0" w:end="0"/>
              <w:rPr/>
            </w:pPr>
            <w:r>
              <w:rPr/>
              <w:t xml:space="preserve">Fixed Rate Payer </w:t>
            </w:r>
          </w:p>
          <w:p>
            <w:pPr>
              <w:pStyle w:val="BodyTextIndent"/>
              <w:widowControl/>
              <w:tabs>
                <w:tab w:val="left" w:pos="90" w:leader="none"/>
                <w:tab w:val="left" w:pos="2160" w:leader="none"/>
                <w:tab w:val="left" w:pos="4140" w:leader="none"/>
                <w:tab w:val="left" w:pos="6480" w:leader="none"/>
              </w:tabs>
              <w:ind w:firstLine="720" w:start="0" w:end="0"/>
              <w:rPr/>
            </w:pPr>
            <w:r>
              <w:rPr/>
              <w:t>Payment Dates:</w:t>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p>
            <w:pPr>
              <w:pStyle w:val="BodyTextIndent"/>
              <w:widowControl/>
              <w:tabs>
                <w:tab w:val="left" w:pos="90" w:leader="none"/>
                <w:tab w:val="left" w:pos="2160" w:leader="none"/>
                <w:tab w:val="left" w:pos="4140" w:leader="none"/>
                <w:tab w:val="left" w:pos="6480" w:leader="none"/>
              </w:tabs>
              <w:ind w:start="0" w:end="0"/>
              <w:rPr/>
            </w:pPr>
            <w:r>
              <w:rPr/>
              <w:t>The 15</w:t>
            </w:r>
            <w:r>
              <w:rPr>
                <w:vertAlign w:val="superscript"/>
              </w:rPr>
              <w:t>th</w:t>
            </w:r>
            <w:r>
              <w:rPr/>
              <w:t xml:space="preserve"> of each May, August, November and February from and including May 15, 2001 to and including the Termination Date, subject to adjustment in accordance with the Modified Following Business Day Convention</w:t>
            </w:r>
          </w:p>
        </w:tc>
      </w:tr>
      <w:tr>
        <w:trPr/>
        <w:tc>
          <w:tcPr>
            <w:tcW w:w="4428" w:type="dxa"/>
            <w:tcBorders/>
          </w:tcPr>
          <w:p>
            <w:pPr>
              <w:pStyle w:val="BodyTextIndent"/>
              <w:widowControl/>
              <w:tabs>
                <w:tab w:val="left" w:pos="9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left" w:pos="90" w:leader="none"/>
                <w:tab w:val="left" w:pos="2160" w:leader="none"/>
                <w:tab w:val="left" w:pos="4140" w:leader="none"/>
                <w:tab w:val="left" w:pos="6480" w:leader="none"/>
              </w:tabs>
              <w:ind w:firstLine="720" w:start="0" w:end="0"/>
              <w:rPr/>
            </w:pPr>
            <w:r>
              <w:rPr/>
              <w:t>Fixed Rate:</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5.495 percent</w:t>
            </w:r>
          </w:p>
        </w:tc>
      </w:tr>
      <w:tr>
        <w:trPr/>
        <w:tc>
          <w:tcPr>
            <w:tcW w:w="4428" w:type="dxa"/>
            <w:tcBorders/>
          </w:tcPr>
          <w:p>
            <w:pPr>
              <w:pStyle w:val="BodyTextIndent"/>
              <w:widowControl/>
              <w:tabs>
                <w:tab w:val="left" w:pos="9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left" w:pos="90" w:leader="none"/>
                <w:tab w:val="left" w:pos="2160" w:leader="none"/>
                <w:tab w:val="left" w:pos="4140" w:leader="none"/>
                <w:tab w:val="left" w:pos="6480" w:leader="none"/>
              </w:tabs>
              <w:ind w:firstLine="720" w:start="0" w:end="0"/>
              <w:rPr/>
            </w:pPr>
            <w:r>
              <w:rPr/>
              <w:t xml:space="preserve">Fixed Rate </w:t>
            </w:r>
          </w:p>
          <w:p>
            <w:pPr>
              <w:pStyle w:val="BodyTextIndent"/>
              <w:widowControl/>
              <w:tabs>
                <w:tab w:val="left" w:pos="90" w:leader="none"/>
                <w:tab w:val="left" w:pos="2160" w:leader="none"/>
                <w:tab w:val="left" w:pos="4140" w:leader="none"/>
                <w:tab w:val="left" w:pos="6480" w:leader="none"/>
              </w:tabs>
              <w:ind w:firstLine="720" w:start="0" w:end="0"/>
              <w:rPr/>
            </w:pPr>
            <w:r>
              <w:rPr/>
              <w:t xml:space="preserve">Day Count Fraction: </w:t>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p>
            <w:pPr>
              <w:pStyle w:val="BodyTextIndent"/>
              <w:widowControl/>
              <w:tabs>
                <w:tab w:val="left" w:pos="90" w:leader="none"/>
                <w:tab w:val="left" w:pos="2160" w:leader="none"/>
                <w:tab w:val="left" w:pos="4140" w:leader="none"/>
                <w:tab w:val="left" w:pos="6480" w:leader="none"/>
              </w:tabs>
              <w:ind w:start="0" w:end="0"/>
              <w:rPr/>
            </w:pPr>
            <w:r>
              <w:rPr/>
              <w:t>30/360</w:t>
            </w:r>
          </w:p>
        </w:tc>
      </w:tr>
    </w:tbl>
    <w:p>
      <w:pPr>
        <w:pStyle w:val="BodyTextIndent"/>
        <w:widowControl/>
        <w:tabs>
          <w:tab w:val="left" w:pos="90" w:leader="none"/>
          <w:tab w:val="left" w:pos="2160" w:leader="none"/>
          <w:tab w:val="left" w:pos="4140" w:leader="none"/>
          <w:tab w:val="left" w:pos="4320" w:leader="none"/>
          <w:tab w:val="left" w:pos="6480" w:leader="none"/>
        </w:tabs>
        <w:rPr>
          <w:b/>
        </w:rPr>
      </w:pPr>
      <w:r>
        <w:rPr>
          <w:b/>
        </w:rPr>
      </w:r>
    </w:p>
    <w:p>
      <w:pPr>
        <w:pStyle w:val="BodyTextIndent"/>
        <w:widowControl/>
        <w:tabs>
          <w:tab w:val="left" w:pos="90" w:leader="none"/>
          <w:tab w:val="left" w:pos="2160" w:leader="none"/>
          <w:tab w:val="left" w:pos="4140" w:leader="none"/>
          <w:tab w:val="left" w:pos="4320" w:leader="none"/>
          <w:tab w:val="left" w:pos="6480" w:leader="none"/>
        </w:tabs>
        <w:ind w:start="0" w:end="0"/>
        <w:rPr/>
      </w:pPr>
      <w:r>
        <w:rPr>
          <w:b/>
        </w:rPr>
        <w:t>Floating Amounts:</w:t>
      </w:r>
      <w:r>
        <w:rPr/>
        <w:t xml:space="preserve"> </w:t>
      </w:r>
    </w:p>
    <w:p>
      <w:pPr>
        <w:pStyle w:val="BodyTextIndent"/>
        <w:widowControl/>
        <w:tabs>
          <w:tab w:val="left" w:pos="90" w:leader="none"/>
          <w:tab w:val="left" w:pos="2160" w:leader="none"/>
          <w:tab w:val="left" w:pos="4140" w:leader="none"/>
          <w:tab w:val="left" w:pos="4320" w:leader="none"/>
          <w:tab w:val="left" w:pos="6480" w:leader="none"/>
        </w:tabs>
        <w:rPr/>
      </w:pPr>
      <w:r>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Indent"/>
              <w:widowControl/>
              <w:tabs>
                <w:tab w:val="clear" w:pos="90"/>
                <w:tab w:val="left" w:pos="0" w:leader="none"/>
                <w:tab w:val="left" w:pos="2160" w:leader="none"/>
                <w:tab w:val="left" w:pos="4140" w:leader="none"/>
                <w:tab w:val="left" w:pos="6480" w:leader="none"/>
              </w:tabs>
              <w:ind w:start="720" w:end="0"/>
              <w:jc w:val="start"/>
              <w:rPr/>
            </w:pPr>
            <w:r>
              <w:rPr/>
              <w:t>Floating Rate Payer:</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Party A</w:t>
            </w:r>
          </w:p>
        </w:tc>
      </w:tr>
      <w:tr>
        <w:trPr/>
        <w:tc>
          <w:tcPr>
            <w:tcW w:w="4428" w:type="dxa"/>
            <w:tcBorders/>
          </w:tcPr>
          <w:p>
            <w:pPr>
              <w:pStyle w:val="BodyTextIndent"/>
              <w:widowControl/>
              <w:tabs>
                <w:tab w:val="clear" w:pos="90"/>
                <w:tab w:val="left" w:pos="0" w:leader="none"/>
                <w:tab w:val="left" w:pos="2160" w:leader="none"/>
                <w:tab w:val="left" w:pos="4140" w:leader="none"/>
                <w:tab w:val="left" w:pos="6480" w:leader="none"/>
              </w:tabs>
              <w:snapToGrid w:val="false"/>
              <w:ind w:start="720" w:end="0"/>
              <w:jc w:val="start"/>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clear" w:pos="90"/>
                <w:tab w:val="left" w:pos="0" w:leader="none"/>
                <w:tab w:val="left" w:pos="2160" w:leader="none"/>
                <w:tab w:val="left" w:pos="4140" w:leader="none"/>
                <w:tab w:val="left" w:pos="6480" w:leader="none"/>
              </w:tabs>
              <w:ind w:start="720" w:end="0"/>
              <w:jc w:val="start"/>
              <w:rPr/>
            </w:pPr>
            <w:r>
              <w:rPr/>
              <w:t>Floating Rate Option:</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USD-LIBOR-BBA</w:t>
            </w:r>
          </w:p>
        </w:tc>
      </w:tr>
      <w:tr>
        <w:trPr/>
        <w:tc>
          <w:tcPr>
            <w:tcW w:w="4428" w:type="dxa"/>
            <w:tcBorders/>
          </w:tcPr>
          <w:p>
            <w:pPr>
              <w:pStyle w:val="BodyTextIndent"/>
              <w:widowControl/>
              <w:tabs>
                <w:tab w:val="clear" w:pos="90"/>
                <w:tab w:val="left" w:pos="0" w:leader="none"/>
                <w:tab w:val="left" w:pos="2160" w:leader="none"/>
                <w:tab w:val="left" w:pos="4140" w:leader="none"/>
                <w:tab w:val="left" w:pos="6480" w:leader="none"/>
              </w:tabs>
              <w:snapToGrid w:val="false"/>
              <w:ind w:start="720" w:end="0"/>
              <w:jc w:val="start"/>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clear" w:pos="90"/>
                <w:tab w:val="left" w:pos="0" w:leader="none"/>
                <w:tab w:val="left" w:pos="2160" w:leader="none"/>
                <w:tab w:val="left" w:pos="4140" w:leader="none"/>
                <w:tab w:val="left" w:pos="6480" w:leader="none"/>
              </w:tabs>
              <w:ind w:start="720" w:end="0"/>
              <w:jc w:val="start"/>
              <w:rPr/>
            </w:pPr>
            <w:r>
              <w:rPr/>
              <w:t>Designated Maturity:</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3 months</w:t>
            </w:r>
          </w:p>
        </w:tc>
      </w:tr>
      <w:tr>
        <w:trPr/>
        <w:tc>
          <w:tcPr>
            <w:tcW w:w="4428" w:type="dxa"/>
            <w:tcBorders/>
          </w:tcPr>
          <w:p>
            <w:pPr>
              <w:pStyle w:val="BodyTextIndent"/>
              <w:widowControl/>
              <w:tabs>
                <w:tab w:val="clear" w:pos="90"/>
                <w:tab w:val="left" w:pos="0" w:leader="none"/>
                <w:tab w:val="left" w:pos="2160" w:leader="none"/>
                <w:tab w:val="left" w:pos="4140" w:leader="none"/>
                <w:tab w:val="left" w:pos="6480" w:leader="none"/>
              </w:tabs>
              <w:snapToGrid w:val="false"/>
              <w:ind w:start="720" w:end="0"/>
              <w:jc w:val="start"/>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clear" w:pos="90"/>
                <w:tab w:val="left" w:pos="0" w:leader="none"/>
                <w:tab w:val="left" w:pos="2160" w:leader="none"/>
                <w:tab w:val="left" w:pos="4140" w:leader="none"/>
                <w:tab w:val="left" w:pos="6480" w:leader="none"/>
              </w:tabs>
              <w:ind w:start="720" w:end="0"/>
              <w:jc w:val="start"/>
              <w:rPr/>
            </w:pPr>
            <w:r>
              <w:rPr/>
              <w:t>Floating Rate Payer</w:t>
            </w:r>
          </w:p>
          <w:p>
            <w:pPr>
              <w:pStyle w:val="BodyTextIndent"/>
              <w:widowControl/>
              <w:tabs>
                <w:tab w:val="clear" w:pos="90"/>
                <w:tab w:val="left" w:pos="0" w:leader="none"/>
                <w:tab w:val="left" w:pos="2160" w:leader="none"/>
                <w:tab w:val="left" w:pos="4140" w:leader="none"/>
                <w:tab w:val="left" w:pos="6480" w:leader="none"/>
              </w:tabs>
              <w:ind w:start="720" w:end="0"/>
              <w:jc w:val="start"/>
              <w:rPr/>
            </w:pPr>
            <w:r>
              <w:rPr/>
              <w:t>Payment Dates:</w:t>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p>
            <w:pPr>
              <w:pStyle w:val="BodyTextIndent"/>
              <w:widowControl/>
              <w:tabs>
                <w:tab w:val="left" w:pos="90" w:leader="none"/>
                <w:tab w:val="left" w:pos="2160" w:leader="none"/>
                <w:tab w:val="left" w:pos="4140" w:leader="none"/>
                <w:tab w:val="left" w:pos="6480" w:leader="none"/>
              </w:tabs>
              <w:ind w:start="0" w:end="0"/>
              <w:rPr/>
            </w:pPr>
            <w:r>
              <w:rPr/>
              <w:t>The 15</w:t>
            </w:r>
            <w:r>
              <w:rPr>
                <w:vertAlign w:val="superscript"/>
              </w:rPr>
              <w:t>th</w:t>
            </w:r>
            <w:r>
              <w:rPr/>
              <w:t xml:space="preserve"> of each May, August, November and February from and including May 15, 2001 to and including the Termination Date, subject to adjustment in accordance with the Modified Following Business Day Convention</w:t>
            </w:r>
          </w:p>
        </w:tc>
      </w:tr>
      <w:tr>
        <w:trPr/>
        <w:tc>
          <w:tcPr>
            <w:tcW w:w="4428" w:type="dxa"/>
            <w:tcBorders/>
          </w:tcPr>
          <w:p>
            <w:pPr>
              <w:pStyle w:val="BodyTextIndent"/>
              <w:widowControl/>
              <w:tabs>
                <w:tab w:val="clear" w:pos="90"/>
                <w:tab w:val="left" w:pos="0" w:leader="none"/>
                <w:tab w:val="left" w:pos="2160" w:leader="none"/>
                <w:tab w:val="left" w:pos="4140" w:leader="none"/>
                <w:tab w:val="left" w:pos="6480" w:leader="none"/>
              </w:tabs>
              <w:snapToGrid w:val="false"/>
              <w:ind w:start="720" w:end="0"/>
              <w:jc w:val="start"/>
              <w:rPr/>
            </w:pPr>
            <w:r>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clear" w:pos="90"/>
                <w:tab w:val="left" w:pos="0" w:leader="none"/>
                <w:tab w:val="left" w:pos="2160" w:leader="none"/>
                <w:tab w:val="left" w:pos="4140" w:leader="none"/>
                <w:tab w:val="left" w:pos="6480" w:leader="none"/>
              </w:tabs>
              <w:ind w:start="720" w:end="0"/>
              <w:jc w:val="start"/>
              <w:rPr/>
            </w:pPr>
            <w:r>
              <w:rPr/>
              <w:t xml:space="preserve">Floating Rate </w:t>
            </w:r>
          </w:p>
          <w:p>
            <w:pPr>
              <w:pStyle w:val="BodyTextIndent"/>
              <w:widowControl/>
              <w:tabs>
                <w:tab w:val="clear" w:pos="90"/>
                <w:tab w:val="left" w:pos="0" w:leader="none"/>
                <w:tab w:val="left" w:pos="2160" w:leader="none"/>
                <w:tab w:val="left" w:pos="4140" w:leader="none"/>
                <w:tab w:val="left" w:pos="6480" w:leader="none"/>
              </w:tabs>
              <w:ind w:start="720" w:end="0"/>
              <w:jc w:val="start"/>
              <w:rPr/>
            </w:pPr>
            <w:r>
              <w:rPr/>
              <w:t xml:space="preserve">Day Count Fraction: </w:t>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p>
            <w:pPr>
              <w:pStyle w:val="BodyTextIndent"/>
              <w:widowControl/>
              <w:tabs>
                <w:tab w:val="left" w:pos="90" w:leader="none"/>
                <w:tab w:val="left" w:pos="2160" w:leader="none"/>
                <w:tab w:val="left" w:pos="4140" w:leader="none"/>
                <w:tab w:val="left" w:pos="6480" w:leader="none"/>
              </w:tabs>
              <w:ind w:start="0" w:end="0"/>
              <w:rPr/>
            </w:pPr>
            <w:r>
              <w:rPr/>
              <w:t>Actual/360</w:t>
            </w:r>
          </w:p>
        </w:tc>
      </w:tr>
      <w:tr>
        <w:trPr/>
        <w:tc>
          <w:tcPr>
            <w:tcW w:w="4428" w:type="dxa"/>
            <w:tcBorders/>
          </w:tcPr>
          <w:p>
            <w:pPr>
              <w:pStyle w:val="BodyTextIndent"/>
              <w:widowControl/>
              <w:tabs>
                <w:tab w:val="clear" w:pos="90"/>
                <w:tab w:val="left" w:pos="0" w:leader="none"/>
                <w:tab w:val="left" w:pos="2160" w:leader="none"/>
                <w:tab w:val="left" w:pos="4140" w:leader="none"/>
                <w:tab w:val="left" w:pos="6480" w:leader="none"/>
              </w:tabs>
              <w:snapToGrid w:val="false"/>
              <w:ind w:start="720" w:end="0"/>
              <w:jc w:val="start"/>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clear" w:pos="90"/>
                <w:tab w:val="left" w:pos="0" w:leader="none"/>
                <w:tab w:val="left" w:pos="2160" w:leader="none"/>
                <w:tab w:val="left" w:pos="4140" w:leader="none"/>
                <w:tab w:val="left" w:pos="6480" w:leader="none"/>
              </w:tabs>
              <w:ind w:start="720" w:end="0"/>
              <w:jc w:val="start"/>
              <w:rPr/>
            </w:pPr>
            <w:r>
              <w:rPr/>
              <w:t>Reset Dates:</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The first day of each Floating Rate Payer Calculation Period</w:t>
            </w:r>
          </w:p>
        </w:tc>
      </w:tr>
      <w:tr>
        <w:trPr/>
        <w:tc>
          <w:tcPr>
            <w:tcW w:w="4428" w:type="dxa"/>
            <w:tcBorders/>
          </w:tcPr>
          <w:p>
            <w:pPr>
              <w:pStyle w:val="BodyTextIndent"/>
              <w:widowControl/>
              <w:tabs>
                <w:tab w:val="clear" w:pos="90"/>
                <w:tab w:val="left" w:pos="0" w:leader="none"/>
                <w:tab w:val="left" w:pos="2160" w:leader="none"/>
                <w:tab w:val="left" w:pos="4140" w:leader="none"/>
                <w:tab w:val="left" w:pos="6480" w:leader="none"/>
              </w:tabs>
              <w:snapToGrid w:val="false"/>
              <w:ind w:start="720" w:end="0"/>
              <w:jc w:val="start"/>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bl>
    <w:p>
      <w:pPr>
        <w:pStyle w:val="Normal"/>
        <w:widowControl/>
        <w:jc w:val="both"/>
        <w:rPr>
          <w:b/>
          <w:sz w:val="20"/>
        </w:rPr>
      </w:pPr>
      <w:r>
        <w:rPr>
          <w:b/>
          <w:sz w:val="20"/>
        </w:rPr>
      </w:r>
    </w:p>
    <w:tbl>
      <w:tblPr>
        <w:tblW w:w="8856" w:type="dxa"/>
        <w:jc w:val="start"/>
        <w:tblInd w:w="0" w:type="dxa"/>
        <w:tblLayout w:type="fixed"/>
        <w:tblCellMar>
          <w:top w:w="0" w:type="dxa"/>
          <w:start w:w="108" w:type="dxa"/>
          <w:bottom w:w="0" w:type="dxa"/>
          <w:end w:w="108" w:type="dxa"/>
        </w:tblCellMar>
      </w:tblPr>
      <w:tblGrid>
        <w:gridCol w:w="3528"/>
        <w:gridCol w:w="5328"/>
      </w:tblGrid>
      <w:tr>
        <w:trPr/>
        <w:tc>
          <w:tcPr>
            <w:tcW w:w="3528" w:type="dxa"/>
            <w:tcBorders/>
          </w:tcPr>
          <w:p>
            <w:pPr>
              <w:pStyle w:val="Normal"/>
              <w:widowControl/>
              <w:snapToGrid w:val="false"/>
              <w:spacing w:before="60" w:after="0"/>
              <w:jc w:val="both"/>
              <w:rPr>
                <w:sz w:val="20"/>
              </w:rPr>
            </w:pPr>
            <w:r>
              <w:rPr>
                <w:sz w:val="20"/>
              </w:rPr>
            </w:r>
          </w:p>
        </w:tc>
        <w:tc>
          <w:tcPr>
            <w:tcW w:w="5328" w:type="dxa"/>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jc w:val="both"/>
              <w:rPr>
                <w:sz w:val="20"/>
              </w:rPr>
            </w:pPr>
            <w:r>
              <w:rPr>
                <w:sz w:val="20"/>
              </w:rPr>
              <w:t>2. Calculation Agent:</w:t>
            </w:r>
          </w:p>
        </w:tc>
        <w:tc>
          <w:tcPr>
            <w:tcW w:w="5328" w:type="dxa"/>
            <w:tcBorders/>
          </w:tcPr>
          <w:p>
            <w:pPr>
              <w:pStyle w:val="Normal"/>
              <w:widowControl/>
              <w:spacing w:before="60" w:after="0"/>
              <w:jc w:val="both"/>
              <w:rPr>
                <w:sz w:val="20"/>
              </w:rPr>
            </w:pPr>
            <w:r>
              <w:rPr>
                <w:sz w:val="20"/>
              </w:rPr>
              <w:t>Party A</w:t>
            </w:r>
          </w:p>
        </w:tc>
      </w:tr>
      <w:tr>
        <w:trPr/>
        <w:tc>
          <w:tcPr>
            <w:tcW w:w="3528" w:type="dxa"/>
            <w:tcBorders/>
          </w:tcPr>
          <w:p>
            <w:pPr>
              <w:pStyle w:val="Normal"/>
              <w:widowControl/>
              <w:snapToGrid w:val="false"/>
              <w:spacing w:before="60" w:after="0"/>
              <w:jc w:val="both"/>
              <w:rPr>
                <w:sz w:val="20"/>
              </w:rPr>
            </w:pPr>
            <w:r>
              <w:rPr>
                <w:sz w:val="20"/>
              </w:rPr>
            </w:r>
          </w:p>
        </w:tc>
        <w:tc>
          <w:tcPr>
            <w:tcW w:w="5328" w:type="dxa"/>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jc w:val="both"/>
              <w:rPr>
                <w:sz w:val="20"/>
              </w:rPr>
            </w:pPr>
            <w:r>
              <w:rPr>
                <w:sz w:val="20"/>
              </w:rPr>
              <w:t>3. Account Details:</w:t>
            </w:r>
          </w:p>
        </w:tc>
        <w:tc>
          <w:tcPr>
            <w:tcW w:w="5328" w:type="dxa"/>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napToGrid w:val="false"/>
              <w:spacing w:before="60" w:after="0"/>
              <w:jc w:val="both"/>
              <w:rPr>
                <w:sz w:val="20"/>
              </w:rPr>
            </w:pPr>
            <w:r>
              <w:rPr>
                <w:sz w:val="20"/>
              </w:rPr>
            </w:r>
          </w:p>
        </w:tc>
        <w:tc>
          <w:tcPr>
            <w:tcW w:w="5328" w:type="dxa"/>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ind w:start="270" w:end="0"/>
              <w:jc w:val="both"/>
              <w:rPr>
                <w:sz w:val="20"/>
              </w:rPr>
            </w:pPr>
            <w:r>
              <w:rPr>
                <w:sz w:val="20"/>
              </w:rPr>
              <w:t>Payments to Party A:</w:t>
            </w:r>
          </w:p>
        </w:tc>
        <w:tc>
          <w:tcPr>
            <w:tcW w:w="5328" w:type="dxa"/>
            <w:tcBorders/>
          </w:tcPr>
          <w:p>
            <w:pPr>
              <w:pStyle w:val="Normal"/>
              <w:widowControl/>
              <w:spacing w:before="60" w:after="0"/>
              <w:jc w:val="both"/>
              <w:rPr>
                <w:sz w:val="20"/>
              </w:rPr>
            </w:pPr>
            <w:r>
              <w:rPr>
                <w:sz w:val="20"/>
              </w:rPr>
              <w:t>Bank of America, Dallas</w:t>
            </w:r>
          </w:p>
          <w:p>
            <w:pPr>
              <w:pStyle w:val="Normal"/>
              <w:widowControl/>
              <w:spacing w:before="60" w:after="0"/>
              <w:jc w:val="both"/>
              <w:rPr>
                <w:sz w:val="20"/>
              </w:rPr>
            </w:pPr>
            <w:r>
              <w:rPr>
                <w:sz w:val="20"/>
              </w:rPr>
              <w:t>ABA 111-000-012</w:t>
            </w:r>
          </w:p>
          <w:p>
            <w:pPr>
              <w:pStyle w:val="Normal"/>
              <w:widowControl/>
              <w:spacing w:before="60" w:after="0"/>
              <w:jc w:val="both"/>
              <w:rPr>
                <w:sz w:val="20"/>
              </w:rPr>
            </w:pPr>
            <w:r>
              <w:rPr>
                <w:sz w:val="20"/>
              </w:rPr>
              <w:t>Acct.  3751443337</w:t>
            </w:r>
          </w:p>
        </w:tc>
      </w:tr>
      <w:tr>
        <w:trPr/>
        <w:tc>
          <w:tcPr>
            <w:tcW w:w="3528" w:type="dxa"/>
            <w:tcBorders/>
          </w:tcPr>
          <w:p>
            <w:pPr>
              <w:pStyle w:val="Normal"/>
              <w:widowControl/>
              <w:snapToGrid w:val="false"/>
              <w:spacing w:before="60" w:after="0"/>
              <w:ind w:start="270" w:end="0"/>
              <w:jc w:val="both"/>
              <w:rPr>
                <w:sz w:val="20"/>
              </w:rPr>
            </w:pPr>
            <w:r>
              <w:rPr>
                <w:sz w:val="20"/>
              </w:rPr>
            </w:r>
          </w:p>
        </w:tc>
        <w:tc>
          <w:tcPr>
            <w:tcW w:w="5328" w:type="dxa"/>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ind w:start="270" w:end="0"/>
              <w:jc w:val="both"/>
              <w:rPr>
                <w:sz w:val="20"/>
              </w:rPr>
            </w:pPr>
            <w:r>
              <w:rPr>
                <w:sz w:val="20"/>
              </w:rPr>
              <w:t>Payments to Party B:</w:t>
            </w:r>
          </w:p>
        </w:tc>
        <w:tc>
          <w:tcPr>
            <w:tcW w:w="5328" w:type="dxa"/>
            <w:tcBorders/>
          </w:tcPr>
          <w:p>
            <w:pPr>
              <w:pStyle w:val="Normal"/>
              <w:widowControl/>
              <w:spacing w:before="60" w:after="0"/>
              <w:jc w:val="both"/>
              <w:rPr>
                <w:sz w:val="20"/>
              </w:rPr>
            </w:pPr>
            <w:r>
              <w:rPr>
                <w:sz w:val="20"/>
              </w:rPr>
              <w:t>Please advise</w:t>
            </w:r>
          </w:p>
        </w:tc>
      </w:tr>
      <w:tr>
        <w:trPr/>
        <w:tc>
          <w:tcPr>
            <w:tcW w:w="3528" w:type="dxa"/>
            <w:tcBorders/>
          </w:tcPr>
          <w:p>
            <w:pPr>
              <w:pStyle w:val="Normal"/>
              <w:widowControl/>
              <w:snapToGrid w:val="false"/>
              <w:spacing w:before="60" w:after="0"/>
              <w:jc w:val="both"/>
              <w:rPr>
                <w:sz w:val="20"/>
              </w:rPr>
            </w:pPr>
            <w:r>
              <w:rPr>
                <w:sz w:val="20"/>
              </w:rPr>
            </w:r>
          </w:p>
        </w:tc>
        <w:tc>
          <w:tcPr>
            <w:tcW w:w="5328" w:type="dxa"/>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jc w:val="both"/>
              <w:rPr>
                <w:sz w:val="20"/>
              </w:rPr>
            </w:pPr>
            <w:r>
              <w:rPr>
                <w:sz w:val="20"/>
              </w:rPr>
              <w:t>5. Governing Law</w:t>
            </w:r>
          </w:p>
        </w:tc>
        <w:tc>
          <w:tcPr>
            <w:tcW w:w="5328" w:type="dxa"/>
            <w:tcBorders/>
          </w:tcPr>
          <w:p>
            <w:pPr>
              <w:pStyle w:val="Normal"/>
              <w:widowControl/>
              <w:spacing w:before="60" w:after="0"/>
              <w:jc w:val="both"/>
              <w:rPr>
                <w:sz w:val="20"/>
              </w:rPr>
            </w:pPr>
            <w:r>
              <w:rPr>
                <w:sz w:val="20"/>
              </w:rPr>
              <w:t>State of Texas</w:t>
            </w:r>
          </w:p>
        </w:tc>
      </w:tr>
    </w:tbl>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t>Please confirm that the foregoing correctly sets forth the terms of our agreement by executing the copy of this Confirmation enclosed for that purpose and returning it to us or by sending to us a letter substantially similar to this letter within three Business Days after the date first above written, which letter sets forth the material terms of the Transaction to which this Confirmation relates and indicates agreement to those terms.</w:t>
      </w:r>
    </w:p>
    <w:p>
      <w:pPr>
        <w:pStyle w:val="Normal"/>
        <w:widowControl/>
        <w:jc w:val="both"/>
        <w:rPr>
          <w:sz w:val="20"/>
        </w:rPr>
      </w:pPr>
      <w:r>
        <w:rPr>
          <w:sz w:val="20"/>
        </w:rPr>
      </w:r>
    </w:p>
    <w:p>
      <w:pPr>
        <w:pStyle w:val="Normal"/>
        <w:jc w:val="both"/>
        <w:rPr>
          <w:sz w:val="20"/>
        </w:rPr>
      </w:pPr>
      <w:r>
        <w:rPr>
          <w:sz w:val="20"/>
        </w:rPr>
        <w:t>Party A identifies this Transaction as property being hedged for federal income tax purposes.  Party A identifies the hedging transaction (if any) for this Transaction using the aggregate risk method for federal income tax purposes.  For hedging transactions involving notional principal contracts, Party A uses the method of tax accounting set forth in Treasury Regulation section 1.446-3.</w:t>
      </w:r>
    </w:p>
    <w:p>
      <w:pPr>
        <w:pStyle w:val="Normal"/>
        <w:rPr>
          <w:sz w:val="20"/>
        </w:rPr>
      </w:pPr>
      <w:r>
        <w:rPr>
          <w:sz w:val="20"/>
        </w:rPr>
      </w:r>
    </w:p>
    <w:p>
      <w:pPr>
        <w:pStyle w:val="Normal"/>
        <w:jc w:val="both"/>
        <w:rPr>
          <w:sz w:val="20"/>
        </w:rPr>
      </w:pPr>
      <w:r>
        <w:rPr>
          <w:sz w:val="20"/>
        </w:rPr>
        <w:tab/>
        <w:t>Party B identifies this Transaction as a hedging transaction for federal income tax purposes.  Party B hereby identifies the Interest Rate in the Underlying Instrument and Notional Amount described in this Confirmation as the property being hedged.  If Party B is a domestic entity, it uses the method of tax accounting set forth in Treasury Regulation section 1.446-3 for hedging transactions involving notional principal contracts.</w:t>
      </w:r>
    </w:p>
    <w:p>
      <w:pPr>
        <w:pStyle w:val="Normal"/>
        <w:widowControl/>
        <w:jc w:val="both"/>
        <w:rPr>
          <w:sz w:val="20"/>
        </w:rPr>
      </w:pPr>
      <w:r>
        <w:rPr>
          <w:sz w:val="20"/>
        </w:rPr>
      </w:r>
    </w:p>
    <w:p>
      <w:pPr>
        <w:pStyle w:val="Normal"/>
        <w:widowControl/>
        <w:jc w:val="both"/>
        <w:rPr>
          <w:sz w:val="20"/>
        </w:rPr>
      </w:pPr>
      <w:r>
        <w:rPr>
          <w:sz w:val="20"/>
        </w:rPr>
        <w:t>ENA Rate &amp; Currency Trading  is pleased to have entered into this Transaction with you.</w:t>
      </w:r>
    </w:p>
    <w:p>
      <w:pPr>
        <w:pStyle w:val="Normal"/>
        <w:widowControl/>
        <w:jc w:val="both"/>
        <w:rPr>
          <w:sz w:val="20"/>
        </w:rPr>
      </w:pPr>
      <w:r>
        <w:rPr>
          <w:sz w:val="20"/>
        </w:rPr>
      </w:r>
    </w:p>
    <w:p>
      <w:pPr>
        <w:pStyle w:val="Normal"/>
        <w:widowControl/>
        <w:jc w:val="both"/>
        <w:rPr>
          <w:sz w:val="20"/>
        </w:rPr>
      </w:pPr>
      <w:r>
        <w:rPr>
          <w:sz w:val="20"/>
        </w:rPr>
      </w:r>
    </w:p>
    <w:p>
      <w:pPr>
        <w:pStyle w:val="Normal"/>
        <w:widowControl/>
        <w:ind w:firstLine="720" w:start="3600" w:end="0"/>
        <w:jc w:val="both"/>
        <w:rPr>
          <w:sz w:val="20"/>
        </w:rPr>
      </w:pPr>
      <w:r>
        <w:rPr>
          <w:sz w:val="20"/>
        </w:rPr>
        <w:t>Yours sincerely,</w:t>
      </w:r>
    </w:p>
    <w:p>
      <w:pPr>
        <w:pStyle w:val="Normal"/>
        <w:widowControl/>
        <w:jc w:val="both"/>
        <w:rPr>
          <w:sz w:val="20"/>
        </w:rPr>
      </w:pPr>
      <w:r>
        <w:rPr>
          <w:sz w:val="20"/>
        </w:rPr>
      </w:r>
    </w:p>
    <w:p>
      <w:pPr>
        <w:pStyle w:val="Normal"/>
        <w:widowControl/>
        <w:jc w:val="both"/>
        <w:rPr>
          <w:sz w:val="20"/>
        </w:rPr>
      </w:pPr>
      <w:r>
        <w:rPr>
          <w:sz w:val="20"/>
        </w:rPr>
        <w:tab/>
        <w:tab/>
        <w:tab/>
        <w:tab/>
        <w:tab/>
        <w:tab/>
        <w:t>ENA Rate &amp; Currency Trading</w:t>
      </w:r>
    </w:p>
    <w:p>
      <w:pPr>
        <w:pStyle w:val="Normal"/>
        <w:widowControl/>
        <w:jc w:val="both"/>
        <w:rPr>
          <w:sz w:val="20"/>
        </w:rPr>
      </w:pPr>
      <w:r>
        <w:rPr>
          <w:sz w:val="20"/>
        </w:rPr>
        <w:tab/>
        <w:tab/>
        <w:tab/>
        <w:tab/>
        <w:tab/>
        <w:tab/>
      </w:r>
    </w:p>
    <w:p>
      <w:pPr>
        <w:pStyle w:val="Normal"/>
        <w:widowControl/>
        <w:jc w:val="both"/>
        <w:rPr>
          <w:sz w:val="20"/>
        </w:rPr>
      </w:pPr>
      <w:r>
        <w:rPr>
          <w:sz w:val="20"/>
        </w:rPr>
      </w:r>
    </w:p>
    <w:p>
      <w:pPr>
        <w:pStyle w:val="Normal"/>
        <w:widowControl/>
        <w:jc w:val="both"/>
        <w:rPr>
          <w:sz w:val="20"/>
        </w:rPr>
      </w:pPr>
      <w:r>
        <w:rPr>
          <w:sz w:val="20"/>
        </w:rPr>
        <w:tab/>
        <w:tab/>
        <w:tab/>
        <w:tab/>
        <w:tab/>
        <w:tab/>
        <w:t>By:</w:t>
      </w:r>
      <w:r>
        <w:rPr>
          <w:sz w:val="20"/>
          <w:u w:val="single"/>
        </w:rPr>
        <w:tab/>
        <w:tab/>
        <w:tab/>
        <w:tab/>
        <w:tab/>
        <w:tab/>
      </w:r>
    </w:p>
    <w:p>
      <w:pPr>
        <w:pStyle w:val="Normal"/>
        <w:widowControl/>
        <w:jc w:val="both"/>
        <w:rPr>
          <w:sz w:val="20"/>
        </w:rPr>
      </w:pPr>
      <w:r>
        <w:rPr>
          <w:sz w:val="20"/>
        </w:rPr>
        <w:tab/>
        <w:tab/>
        <w:tab/>
        <w:tab/>
        <w:tab/>
        <w:tab/>
        <w:t>Name:</w:t>
      </w:r>
      <w:r>
        <w:rPr>
          <w:sz w:val="20"/>
          <w:u w:val="single"/>
        </w:rPr>
        <w:tab/>
        <w:tab/>
        <w:tab/>
        <w:tab/>
        <w:tab/>
        <w:tab/>
      </w:r>
    </w:p>
    <w:p>
      <w:pPr>
        <w:pStyle w:val="Normal"/>
        <w:widowControl/>
        <w:jc w:val="both"/>
        <w:rPr>
          <w:sz w:val="20"/>
        </w:rPr>
      </w:pPr>
      <w:r>
        <w:rPr>
          <w:sz w:val="20"/>
        </w:rPr>
        <w:tab/>
        <w:tab/>
        <w:tab/>
        <w:tab/>
        <w:tab/>
        <w:tab/>
        <w:t>Title:</w:t>
      </w:r>
      <w:r>
        <w:rPr>
          <w:sz w:val="20"/>
          <w:u w:val="single"/>
        </w:rPr>
        <w:tab/>
        <w:tab/>
        <w:tab/>
        <w:tab/>
        <w:tab/>
        <w:tab/>
      </w:r>
    </w:p>
    <w:p>
      <w:pPr>
        <w:pStyle w:val="Normal"/>
        <w:widowControl/>
        <w:jc w:val="both"/>
        <w:rPr>
          <w:sz w:val="20"/>
        </w:rPr>
      </w:pPr>
      <w:r>
        <w:rPr>
          <w:sz w:val="20"/>
        </w:rPr>
      </w:r>
    </w:p>
    <w:p>
      <w:pPr>
        <w:pStyle w:val="Normal"/>
        <w:widowControl/>
        <w:jc w:val="both"/>
        <w:rPr>
          <w:sz w:val="20"/>
        </w:rPr>
      </w:pPr>
      <w:r>
        <w:rPr>
          <w:sz w:val="20"/>
        </w:rPr>
        <w:t>Confirmed as of the date first above written:</w:t>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t>ENA Merchant Assets</w:t>
      </w:r>
    </w:p>
    <w:p>
      <w:pPr>
        <w:pStyle w:val="Normal"/>
        <w:widowControl/>
        <w:jc w:val="both"/>
        <w:rPr>
          <w:sz w:val="20"/>
        </w:rPr>
      </w:pPr>
      <w:r>
        <w:rPr>
          <w:sz w:val="20"/>
        </w:rPr>
      </w:r>
    </w:p>
    <w:p>
      <w:pPr>
        <w:pStyle w:val="Normal"/>
        <w:widowControl/>
        <w:jc w:val="both"/>
        <w:rPr>
          <w:sz w:val="20"/>
        </w:rPr>
      </w:pPr>
      <w:r>
        <w:rPr>
          <w:sz w:val="20"/>
        </w:rPr>
        <w:t>By:  _____________________________</w:t>
      </w:r>
    </w:p>
    <w:p>
      <w:pPr>
        <w:pStyle w:val="Normal"/>
        <w:widowControl/>
        <w:jc w:val="both"/>
        <w:rPr>
          <w:sz w:val="20"/>
        </w:rPr>
      </w:pPr>
      <w:r>
        <w:rPr>
          <w:sz w:val="20"/>
        </w:rPr>
        <w:t>Name:  ___________________________</w:t>
      </w:r>
    </w:p>
    <w:p>
      <w:pPr>
        <w:pStyle w:val="Normal"/>
        <w:widowControl/>
        <w:jc w:val="both"/>
        <w:rPr>
          <w:sz w:val="20"/>
        </w:rPr>
      </w:pPr>
      <w:r>
        <w:rPr>
          <w:sz w:val="20"/>
        </w:rPr>
        <w:t>Title:  ____________________________</w:t>
      </w:r>
    </w:p>
    <w:p>
      <w:pPr>
        <w:pStyle w:val="Normal"/>
        <w:widowControl/>
        <w:jc w:val="both"/>
        <w:rPr>
          <w:sz w:val="20"/>
        </w:rPr>
      </w:pPr>
      <w:r>
        <w:rPr>
          <w:sz w:val="20"/>
        </w:rPr>
      </w:r>
      <w:r>
        <w:br w:type="page"/>
      </w:r>
    </w:p>
    <w:p>
      <w:pPr>
        <w:pStyle w:val="Normal"/>
        <w:widowControl/>
        <w:jc w:val="center"/>
        <w:rPr>
          <w:sz w:val="20"/>
        </w:rPr>
      </w:pPr>
      <w:r>
        <w:rPr>
          <w:sz w:val="20"/>
        </w:rPr>
        <w:t>Exhibit I</w:t>
      </w:r>
    </w:p>
    <w:p>
      <w:pPr>
        <w:pStyle w:val="Normal"/>
        <w:widowControl/>
        <w:jc w:val="center"/>
        <w:rPr>
          <w:sz w:val="20"/>
        </w:rPr>
      </w:pPr>
      <w:r>
        <w:rPr>
          <w:sz w:val="20"/>
        </w:rPr>
      </w:r>
    </w:p>
    <w:tbl>
      <w:tblPr>
        <w:tblW w:w="8586" w:type="dxa"/>
        <w:jc w:val="start"/>
        <w:tblInd w:w="0" w:type="dxa"/>
        <w:tblLayout w:type="fixed"/>
        <w:tblCellMar>
          <w:top w:w="0" w:type="dxa"/>
          <w:start w:w="108" w:type="dxa"/>
          <w:bottom w:w="0" w:type="dxa"/>
          <w:end w:w="108" w:type="dxa"/>
        </w:tblCellMar>
      </w:tblPr>
      <w:tblGrid>
        <w:gridCol w:w="3798"/>
        <w:gridCol w:w="4788"/>
      </w:tblGrid>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Fixed Rate Payer and Floating Rate Payer Calculation Period*</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Notional Amount</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March 30, 2001—May 15, 2001</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33,686,833.83</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May 15, 2001—August 15, 2001</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32,955,258.11</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August 15, 2001—November 15, 2001</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32,195,389.67</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November 15, 2001—February 15, 2002</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31,406,556.75</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February 15, 2002—May 15, 2002</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30,588,073.93</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May 15, 2002—August 15, 2002</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29,739,241.85</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August 15, 2002—November 15, 2002</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28,859,346.92</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November 15, 2002—February 15, 2003</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27,947,661.12</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February 15, 2003—May 15, 2003</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27,003,441.65</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May 15, 2003—August 15, 2003</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26,025,930.70</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August 15, 2003—November 15, 2003</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25,014,355.16</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November 15, 2003—February 15, 2004</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23,967,926.33</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February 15, 2004—May 15, 2004</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22,885,839.60</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May 15, 2004—August 15, 2004</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21,767,274.19</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August 15, 2004--November 15, 2004</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20,611,392.83</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November 15, 2004—February 15, 2005</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19,417,341.46</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February 15, 2005—May 15, 2005</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18,184,248.88</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May 15, 2005—August 15, 2005</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16,911,226.46</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August 15, 2005—November 15, 2005</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15,597,367.83</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November 15, 2005—February 15, 2006</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14,241,748.49</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February 15, 2006—May 15, 2006</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12,843,425.55</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May 15, 2006—August 15, 2006</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11,401,437.29</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August 15, 2006—November 15, 2006</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9,914,802.90</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November 15, 2006—February 15, 2007</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8,382,522.075</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February 15, 2007—May 15, 2007</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6,803,574.638</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May 15, 2007—August 15, 2007</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5,176,920.220</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August 15, 2007—November 15, 2007</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3,501,497.84</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November 15, 2007—February 15, 2008</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1,776,225.55</w:t>
            </w:r>
          </w:p>
        </w:tc>
      </w:tr>
    </w:tbl>
    <w:p>
      <w:pPr>
        <w:pStyle w:val="Normal"/>
        <w:widowControl/>
        <w:rPr>
          <w:sz w:val="20"/>
        </w:rPr>
      </w:pPr>
      <w:r>
        <w:rPr>
          <w:sz w:val="20"/>
        </w:rPr>
        <w:t>*Subject to adjustment in accordance with the Modified Following  Business Day Convention</w:t>
      </w:r>
    </w:p>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64135" cy="146685"/>
              <wp:effectExtent l="0" t="0" r="0" b="0"/>
              <wp:wrapSquare wrapText="bothSides"/>
              <wp:docPr id="3"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widowControl/>
                            <w:rPr>
                              <w:rStyle w:val="PageNumber"/>
                              <w:sz w:val="24"/>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widowControl/>
                      <w:rPr>
                        <w:rStyle w:val="PageNumber"/>
                        <w:sz w:val="24"/>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20"/>
      </w:rP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sz w:val="20"/>
      </w:rPr>
    </w:pPr>
    <w:r>
      <w:rPr>
        <w:sz w:val="20"/>
      </w:rPr>
      <w:t>Deal No. M412259</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b/>
      <w:u w:val="single"/>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90" w:leader="none"/>
        <w:tab w:val="left" w:pos="2160" w:leader="none"/>
        <w:tab w:val="left" w:pos="6480" w:leader="none"/>
      </w:tabs>
      <w:ind w:hanging="0" w:start="-720" w:end="0"/>
      <w:jc w:val="both"/>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2001-03-07T18:56:00Z</dcterms:created>
  <dc:creator>ECT</dc:creator>
  <dc:description/>
  <dc:language>en-CA</dc:language>
  <cp:lastModifiedBy>ladams</cp:lastModifiedBy>
  <cp:lastPrinted>2001-03-07T15:25:00Z</cp:lastPrinted>
  <dcterms:modified xsi:type="dcterms:W3CDTF">2001-03-13T19:44:00Z</dcterms:modified>
  <cp:revision>5</cp:revision>
  <dc:subject/>
  <dc:title> 1400 Smith  Houston, TX 77002 (713) 853-3300 Fax (713) 646-4816</dc:title>
</cp:coreProperties>
</file>