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BodyText2"/>
        <w:jc w:val="center"/>
        <w:rPr>
          <w:b/>
          <w:color w:val="auto"/>
          <w:sz w:val="22"/>
        </w:rPr>
      </w:pPr>
      <w:r>
        <w:rPr>
          <w:b/>
          <w:color w:val="auto"/>
          <w:sz w:val="22"/>
        </w:rPr>
        <w:t>This Third Revised Confirmation supersedes and replaces all prior Confirmations relating to the subject matter hereof, including the Second Revised Confirmation dated as of February 9, 2001 made and entered into between the parties hereto.</w:t>
      </w:r>
    </w:p>
    <w:p>
      <w:pPr>
        <w:pStyle w:val="Normal"/>
        <w:jc w:val="center"/>
        <w:rPr>
          <w:b/>
          <w:color w:val="auto"/>
          <w:sz w:val="22"/>
        </w:rPr>
      </w:pPr>
      <w:r>
        <w:rPr>
          <w:b/>
          <w:color w:val="auto"/>
          <w:sz w:val="22"/>
        </w:rPr>
      </w:r>
    </w:p>
    <w:p>
      <w:pPr>
        <w:pStyle w:val="Normal"/>
        <w:jc w:val="center"/>
        <w:rPr>
          <w:b/>
          <w:sz w:val="22"/>
        </w:rPr>
      </w:pPr>
      <w:r>
        <w:rPr>
          <w:b/>
          <w:sz w:val="22"/>
        </w:rPr>
        <w:t>Revision to Fixed Price</w:t>
      </w:r>
    </w:p>
    <w:p>
      <w:pPr>
        <w:pStyle w:val="Normal"/>
        <w:jc w:val="center"/>
        <w:rPr>
          <w:b/>
          <w:sz w:val="22"/>
        </w:rPr>
      </w:pPr>
      <w:r>
        <w:rPr>
          <w:b/>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March 8, 2001</w:t>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Mercado Gas Services, Inc.</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(512) 476-5985</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NF1164.1</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March 7, 2000</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jc w:val="center"/>
        <w:rPr>
          <w:sz w:val="22"/>
        </w:rPr>
      </w:pPr>
      <w:r>
        <w:rPr>
          <w:b/>
          <w:color w:val="000000"/>
          <w:sz w:val="22"/>
          <w:lang w:eastAsia="en-US"/>
        </w:rPr>
        <w:t>In consideration of the mutual covenants and agreements herein contained, the parties agree that the terms of the particular Transaction to which this</w:t>
      </w:r>
      <w:r>
        <w:rPr>
          <w:b/>
          <w:sz w:val="22"/>
        </w:rPr>
        <w:t xml:space="preserve"> </w:t>
      </w:r>
      <w:r>
        <w:rPr>
          <w:b/>
          <w:color w:val="000000"/>
          <w:sz w:val="22"/>
          <w:lang w:eastAsia="en-US"/>
        </w:rPr>
        <w:t>Revised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fldChar w:fldCharType="begin"/>
            </w:r>
            <w:r>
              <w:rPr>
                <w:sz w:val="22"/>
              </w:rPr>
              <w:instrText xml:space="preserve"> MERGEFIELD QtyPerPeriod </w:instrText>
            </w:r>
            <w:r>
              <w:rPr>
                <w:sz w:val="22"/>
              </w:rPr>
              <w:fldChar w:fldCharType="separate"/>
            </w:r>
            <w:r>
              <w:rPr>
                <w:sz w:val="22"/>
              </w:rPr>
              <w:t>10,000 MMBtu multiplied by the number of days in the relevant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MMBtu (One Million British Thermal Units)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April 17,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January 01,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December 31,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January 01, 2001 and ending on December 31, 2001.</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See Attachment</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El Paso Natural Gas Co. - San Juan Basin Index price for delivery during the applicable Calculation Period in the “Prices of Spot Gas Delivered to Pipelines” section located in the first issue of Inside F.E.R.C.’s Gas Market Report published during the applicable Calculation Period</w:t>
            </w:r>
            <w:r>
              <w:rPr>
                <w:sz w:val="22"/>
              </w:rPr>
              <w:fldChar w:fldCharType="end"/>
            </w:r>
          </w:p>
        </w:tc>
      </w:tr>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color w:val="000000"/>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snapToGrid w:val="false"/>
              <w:rPr>
                <w:sz w:val="22"/>
              </w:rPr>
            </w:pPr>
            <w:r>
              <w:rPr>
                <w:sz w:val="22"/>
              </w:rPr>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Mercado Gas Services, Inc.</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r>
        <w:br w:type="page"/>
      </w:r>
    </w:p>
    <w:p>
      <w:pPr>
        <w:pStyle w:val="Normal"/>
        <w:rPr/>
      </w:pPr>
      <w:r>
        <w:rPr/>
      </w:r>
    </w:p>
    <w:p>
      <w:pPr>
        <w:pStyle w:val="Normal"/>
        <w:jc w:val="center"/>
        <w:rPr>
          <w:b/>
          <w:sz w:val="22"/>
        </w:rPr>
      </w:pPr>
      <w:r>
        <w:rPr>
          <w:b/>
          <w:sz w:val="22"/>
        </w:rPr>
        <w:t>Attachment</w:t>
      </w:r>
    </w:p>
    <w:p>
      <w:pPr>
        <w:pStyle w:val="Normal"/>
        <w:jc w:val="center"/>
        <w:rPr>
          <w:b/>
          <w:sz w:val="22"/>
        </w:rPr>
      </w:pPr>
      <w:r>
        <w:rPr>
          <w:b/>
          <w:sz w:val="22"/>
        </w:rPr>
      </w:r>
    </w:p>
    <w:p>
      <w:pPr>
        <w:pStyle w:val="Normal"/>
        <w:jc w:val="center"/>
        <w:rPr>
          <w:sz w:val="22"/>
        </w:rPr>
      </w:pPr>
      <w:r>
        <w:rPr>
          <w:sz w:val="22"/>
        </w:rPr>
      </w:r>
    </w:p>
    <w:p>
      <w:pPr>
        <w:pStyle w:val="Normal"/>
        <w:jc w:val="center"/>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rPr>
                <w:b/>
                <w:sz w:val="22"/>
              </w:rPr>
            </w:pPr>
            <w:r>
              <w:rPr>
                <w:b/>
                <w:sz w:val="22"/>
              </w:rPr>
              <w:t>Quantity Measurement:</w:t>
            </w:r>
          </w:p>
        </w:tc>
        <w:tc>
          <w:tcPr>
            <w:tcW w:w="2952" w:type="dxa"/>
            <w:tcBorders/>
          </w:tcPr>
          <w:p>
            <w:pPr>
              <w:pStyle w:val="Normal"/>
              <w:rPr>
                <w:b/>
                <w:sz w:val="22"/>
              </w:rPr>
            </w:pPr>
            <w:r>
              <w:rPr>
                <w:b/>
                <w:sz w:val="22"/>
              </w:rPr>
              <w:t>MMBtu</w:t>
            </w:r>
          </w:p>
        </w:tc>
        <w:tc>
          <w:tcPr>
            <w:tcW w:w="2952" w:type="dxa"/>
            <w:tcBorders/>
          </w:tcPr>
          <w:p>
            <w:pPr>
              <w:pStyle w:val="Normal"/>
              <w:snapToGrid w:val="false"/>
              <w:rPr>
                <w:b/>
                <w:sz w:val="22"/>
              </w:rPr>
            </w:pPr>
            <w:r>
              <w:rPr>
                <w:b/>
                <w:sz w:val="22"/>
              </w:rPr>
            </w:r>
          </w:p>
        </w:tc>
      </w:tr>
      <w:tr>
        <w:trPr>
          <w:trHeight w:val="360" w:hRule="atLeast"/>
        </w:trPr>
        <w:tc>
          <w:tcPr>
            <w:tcW w:w="2952" w:type="dxa"/>
            <w:tcBorders/>
          </w:tcPr>
          <w:p>
            <w:pPr>
              <w:pStyle w:val="Normal"/>
              <w:snapToGrid w:val="false"/>
              <w:rPr>
                <w:sz w:val="22"/>
              </w:rPr>
            </w:pPr>
            <w:r>
              <w:rPr>
                <w:sz w:val="22"/>
              </w:rPr>
            </w:r>
          </w:p>
        </w:tc>
        <w:tc>
          <w:tcPr>
            <w:tcW w:w="2952" w:type="dxa"/>
            <w:tcBorders/>
          </w:tcPr>
          <w:p>
            <w:pPr>
              <w:pStyle w:val="Normal"/>
              <w:snapToGrid w:val="false"/>
              <w:rPr>
                <w:sz w:val="22"/>
              </w:rPr>
            </w:pPr>
            <w:r>
              <w:rPr>
                <w:sz w:val="22"/>
              </w:rPr>
            </w:r>
          </w:p>
        </w:tc>
        <w:tc>
          <w:tcPr>
            <w:tcW w:w="2952" w:type="dxa"/>
            <w:tcBorders/>
          </w:tcPr>
          <w:p>
            <w:pPr>
              <w:pStyle w:val="Normal"/>
              <w:snapToGrid w:val="false"/>
              <w:rPr>
                <w:sz w:val="22"/>
              </w:rPr>
            </w:pPr>
            <w:r>
              <w:rPr>
                <w:sz w:val="22"/>
              </w:rPr>
            </w:r>
          </w:p>
        </w:tc>
      </w:tr>
      <w:tr>
        <w:trPr/>
        <w:tc>
          <w:tcPr>
            <w:tcW w:w="2952" w:type="dxa"/>
            <w:tcBorders/>
          </w:tcPr>
          <w:p>
            <w:pPr>
              <w:pStyle w:val="Normal"/>
              <w:snapToGrid w:val="false"/>
              <w:jc w:val="center"/>
              <w:rPr>
                <w:b/>
                <w:sz w:val="22"/>
              </w:rPr>
            </w:pPr>
            <w:r>
              <w:rPr>
                <w:b/>
                <w:sz w:val="22"/>
              </w:rPr>
            </w:r>
          </w:p>
          <w:p>
            <w:pPr>
              <w:pStyle w:val="Normal"/>
              <w:jc w:val="center"/>
              <w:rPr>
                <w:b/>
                <w:sz w:val="22"/>
              </w:rPr>
            </w:pPr>
            <w:r>
              <w:rPr>
                <w:b/>
                <w:sz w:val="22"/>
              </w:rPr>
              <w:t>Calculation Period</w:t>
            </w:r>
          </w:p>
        </w:tc>
        <w:tc>
          <w:tcPr>
            <w:tcW w:w="2952" w:type="dxa"/>
            <w:tcBorders/>
          </w:tcPr>
          <w:p>
            <w:pPr>
              <w:pStyle w:val="Normal"/>
              <w:snapToGrid w:val="false"/>
              <w:jc w:val="center"/>
              <w:rPr>
                <w:b/>
                <w:sz w:val="22"/>
              </w:rPr>
            </w:pPr>
            <w:r>
              <w:rPr>
                <w:b/>
                <w:sz w:val="22"/>
              </w:rPr>
            </w:r>
          </w:p>
          <w:p>
            <w:pPr>
              <w:pStyle w:val="Heading1"/>
              <w:ind w:hanging="0" w:start="0"/>
              <w:rPr/>
            </w:pPr>
            <w:r>
              <w:rPr/>
              <w:t>Fixed Price</w:t>
            </w:r>
          </w:p>
        </w:tc>
        <w:tc>
          <w:tcPr>
            <w:tcW w:w="2952" w:type="dxa"/>
            <w:tcBorders/>
          </w:tcPr>
          <w:p>
            <w:pPr>
              <w:pStyle w:val="Heading2"/>
              <w:snapToGrid w:val="false"/>
              <w:ind w:hanging="0" w:start="0"/>
              <w:rPr>
                <w:b w:val="false"/>
              </w:rPr>
            </w:pPr>
            <w:r>
              <w:rPr>
                <w:b w:val="false"/>
              </w:rPr>
            </w:r>
          </w:p>
        </w:tc>
      </w:tr>
      <w:tr>
        <w:trPr/>
        <w:tc>
          <w:tcPr>
            <w:tcW w:w="2952" w:type="dxa"/>
            <w:tcBorders/>
          </w:tcPr>
          <w:p>
            <w:pPr>
              <w:pStyle w:val="Normal"/>
              <w:jc w:val="center"/>
              <w:rPr>
                <w:sz w:val="22"/>
              </w:rPr>
            </w:pPr>
            <w:r>
              <w:rPr>
                <w:sz w:val="22"/>
              </w:rPr>
              <w:t>-----------------------</w:t>
            </w:r>
          </w:p>
        </w:tc>
        <w:tc>
          <w:tcPr>
            <w:tcW w:w="2952" w:type="dxa"/>
            <w:tcBorders/>
          </w:tcPr>
          <w:p>
            <w:pPr>
              <w:pStyle w:val="Normal"/>
              <w:jc w:val="center"/>
              <w:rPr>
                <w:sz w:val="22"/>
              </w:rPr>
            </w:pPr>
            <w:r>
              <w:rPr>
                <w:sz w:val="22"/>
              </w:rPr>
              <w:t>------------------------</w:t>
            </w:r>
          </w:p>
        </w:tc>
        <w:tc>
          <w:tcPr>
            <w:tcW w:w="2952" w:type="dxa"/>
            <w:tcBorders/>
          </w:tcPr>
          <w:p>
            <w:pPr>
              <w:pStyle w:val="Normal"/>
              <w:snapToGrid w:val="false"/>
              <w:jc w:val="center"/>
              <w:rPr>
                <w:sz w:val="22"/>
              </w:rPr>
            </w:pPr>
            <w:r>
              <w:rPr>
                <w:sz w:val="22"/>
              </w:rPr>
            </w:r>
          </w:p>
        </w:tc>
      </w:tr>
      <w:tr>
        <w:trPr/>
        <w:tc>
          <w:tcPr>
            <w:tcW w:w="2952" w:type="dxa"/>
            <w:tcBorders/>
          </w:tcPr>
          <w:p>
            <w:pPr>
              <w:pStyle w:val="Normal"/>
              <w:rPr>
                <w:sz w:val="22"/>
              </w:rPr>
            </w:pPr>
            <w:r>
              <w:rPr>
                <w:sz w:val="22"/>
              </w:rPr>
              <w:t>January, 2001</w:t>
            </w:r>
          </w:p>
        </w:tc>
        <w:tc>
          <w:tcPr>
            <w:tcW w:w="2952" w:type="dxa"/>
            <w:tcBorders/>
          </w:tcPr>
          <w:p>
            <w:pPr>
              <w:pStyle w:val="Normal"/>
              <w:jc w:val="center"/>
              <w:rPr>
                <w:sz w:val="22"/>
              </w:rPr>
            </w:pPr>
            <w:r>
              <w:rPr>
                <w:sz w:val="22"/>
              </w:rPr>
              <w:t>$8.80000</w:t>
            </w:r>
          </w:p>
        </w:tc>
        <w:tc>
          <w:tcPr>
            <w:tcW w:w="2952" w:type="dxa"/>
            <w:tcBorders/>
          </w:tcPr>
          <w:p>
            <w:pPr>
              <w:pStyle w:val="Normal"/>
              <w:snapToGrid w:val="false"/>
              <w:jc w:val="center"/>
              <w:rPr>
                <w:sz w:val="22"/>
              </w:rPr>
            </w:pPr>
            <w:r>
              <w:rPr>
                <w:sz w:val="22"/>
              </w:rPr>
            </w:r>
          </w:p>
        </w:tc>
      </w:tr>
      <w:tr>
        <w:trPr/>
        <w:tc>
          <w:tcPr>
            <w:tcW w:w="2952" w:type="dxa"/>
            <w:tcBorders/>
          </w:tcPr>
          <w:p>
            <w:pPr>
              <w:pStyle w:val="Normal"/>
              <w:rPr>
                <w:sz w:val="22"/>
              </w:rPr>
            </w:pPr>
            <w:r>
              <w:rPr>
                <w:sz w:val="22"/>
              </w:rPr>
              <w:t>February, 2001</w:t>
            </w:r>
          </w:p>
        </w:tc>
        <w:tc>
          <w:tcPr>
            <w:tcW w:w="2952" w:type="dxa"/>
            <w:tcBorders/>
          </w:tcPr>
          <w:p>
            <w:pPr>
              <w:pStyle w:val="Normal"/>
              <w:jc w:val="center"/>
              <w:rPr>
                <w:sz w:val="22"/>
              </w:rPr>
            </w:pPr>
            <w:r>
              <w:rPr>
                <w:sz w:val="22"/>
              </w:rPr>
              <w:t>$6.24000</w:t>
            </w:r>
          </w:p>
        </w:tc>
        <w:tc>
          <w:tcPr>
            <w:tcW w:w="2952" w:type="dxa"/>
            <w:tcBorders/>
          </w:tcPr>
          <w:p>
            <w:pPr>
              <w:pStyle w:val="Normal"/>
              <w:snapToGrid w:val="false"/>
              <w:jc w:val="center"/>
              <w:rPr>
                <w:sz w:val="22"/>
              </w:rPr>
            </w:pPr>
            <w:r>
              <w:rPr>
                <w:sz w:val="22"/>
              </w:rPr>
            </w:r>
          </w:p>
        </w:tc>
      </w:tr>
      <w:tr>
        <w:trPr/>
        <w:tc>
          <w:tcPr>
            <w:tcW w:w="2952" w:type="dxa"/>
            <w:tcBorders/>
          </w:tcPr>
          <w:p>
            <w:pPr>
              <w:pStyle w:val="Normal"/>
              <w:rPr>
                <w:sz w:val="22"/>
              </w:rPr>
            </w:pPr>
            <w:r>
              <w:rPr>
                <w:sz w:val="22"/>
              </w:rPr>
              <w:t>March, 2001</w:t>
            </w:r>
          </w:p>
        </w:tc>
        <w:tc>
          <w:tcPr>
            <w:tcW w:w="2952" w:type="dxa"/>
            <w:tcBorders/>
          </w:tcPr>
          <w:p>
            <w:pPr>
              <w:pStyle w:val="Normal"/>
              <w:jc w:val="center"/>
              <w:rPr>
                <w:sz w:val="22"/>
              </w:rPr>
            </w:pPr>
            <w:r>
              <w:rPr>
                <w:sz w:val="22"/>
              </w:rPr>
              <w:t>$4.83000</w:t>
            </w:r>
          </w:p>
        </w:tc>
        <w:tc>
          <w:tcPr>
            <w:tcW w:w="2952" w:type="dxa"/>
            <w:tcBorders/>
          </w:tcPr>
          <w:p>
            <w:pPr>
              <w:pStyle w:val="Normal"/>
              <w:snapToGrid w:val="false"/>
              <w:jc w:val="center"/>
              <w:rPr>
                <w:sz w:val="22"/>
              </w:rPr>
            </w:pPr>
            <w:r>
              <w:rPr>
                <w:sz w:val="22"/>
              </w:rPr>
            </w:r>
          </w:p>
        </w:tc>
      </w:tr>
      <w:tr>
        <w:trPr/>
        <w:tc>
          <w:tcPr>
            <w:tcW w:w="2952" w:type="dxa"/>
            <w:tcBorders/>
          </w:tcPr>
          <w:p>
            <w:pPr>
              <w:pStyle w:val="Normal"/>
              <w:rPr>
                <w:sz w:val="22"/>
              </w:rPr>
            </w:pPr>
            <w:r>
              <w:rPr>
                <w:sz w:val="22"/>
              </w:rPr>
              <w:t>April, 2001</w:t>
            </w:r>
          </w:p>
        </w:tc>
        <w:tc>
          <w:tcPr>
            <w:tcW w:w="2952" w:type="dxa"/>
            <w:tcBorders/>
          </w:tcPr>
          <w:p>
            <w:pPr>
              <w:pStyle w:val="Normal"/>
              <w:jc w:val="center"/>
              <w:rPr>
                <w:sz w:val="22"/>
              </w:rPr>
            </w:pPr>
            <w:r>
              <w:rPr>
                <w:sz w:val="22"/>
              </w:rPr>
              <w:t>$2.72000</w:t>
            </w:r>
          </w:p>
        </w:tc>
        <w:tc>
          <w:tcPr>
            <w:tcW w:w="2952" w:type="dxa"/>
            <w:tcBorders/>
          </w:tcPr>
          <w:p>
            <w:pPr>
              <w:pStyle w:val="Normal"/>
              <w:snapToGrid w:val="false"/>
              <w:jc w:val="center"/>
              <w:rPr>
                <w:sz w:val="22"/>
              </w:rPr>
            </w:pPr>
            <w:r>
              <w:rPr>
                <w:sz w:val="22"/>
              </w:rPr>
            </w:r>
          </w:p>
        </w:tc>
      </w:tr>
      <w:tr>
        <w:trPr/>
        <w:tc>
          <w:tcPr>
            <w:tcW w:w="2952" w:type="dxa"/>
            <w:tcBorders/>
          </w:tcPr>
          <w:p>
            <w:pPr>
              <w:pStyle w:val="Normal"/>
              <w:rPr>
                <w:sz w:val="22"/>
              </w:rPr>
            </w:pPr>
            <w:r>
              <w:rPr>
                <w:sz w:val="22"/>
              </w:rPr>
              <w:t>May, 2001</w:t>
            </w:r>
          </w:p>
        </w:tc>
        <w:tc>
          <w:tcPr>
            <w:tcW w:w="2952" w:type="dxa"/>
            <w:tcBorders/>
          </w:tcPr>
          <w:p>
            <w:pPr>
              <w:pStyle w:val="Normal"/>
              <w:jc w:val="center"/>
              <w:rPr>
                <w:sz w:val="22"/>
              </w:rPr>
            </w:pPr>
            <w:r>
              <w:rPr>
                <w:sz w:val="22"/>
              </w:rPr>
              <w:t>$2.72000</w:t>
            </w:r>
          </w:p>
        </w:tc>
        <w:tc>
          <w:tcPr>
            <w:tcW w:w="2952" w:type="dxa"/>
            <w:tcBorders/>
          </w:tcPr>
          <w:p>
            <w:pPr>
              <w:pStyle w:val="Normal"/>
              <w:snapToGrid w:val="false"/>
              <w:jc w:val="center"/>
              <w:rPr>
                <w:sz w:val="22"/>
              </w:rPr>
            </w:pPr>
            <w:r>
              <w:rPr>
                <w:sz w:val="22"/>
              </w:rPr>
            </w:r>
          </w:p>
        </w:tc>
      </w:tr>
      <w:tr>
        <w:trPr/>
        <w:tc>
          <w:tcPr>
            <w:tcW w:w="2952" w:type="dxa"/>
            <w:tcBorders/>
          </w:tcPr>
          <w:p>
            <w:pPr>
              <w:pStyle w:val="Normal"/>
              <w:rPr>
                <w:sz w:val="22"/>
              </w:rPr>
            </w:pPr>
            <w:r>
              <w:rPr>
                <w:sz w:val="22"/>
              </w:rPr>
              <w:t>June, 2001</w:t>
            </w:r>
          </w:p>
        </w:tc>
        <w:tc>
          <w:tcPr>
            <w:tcW w:w="2952" w:type="dxa"/>
            <w:tcBorders/>
          </w:tcPr>
          <w:p>
            <w:pPr>
              <w:pStyle w:val="Normal"/>
              <w:jc w:val="center"/>
              <w:rPr>
                <w:sz w:val="22"/>
              </w:rPr>
            </w:pPr>
            <w:r>
              <w:rPr>
                <w:sz w:val="22"/>
              </w:rPr>
              <w:t>$2.72000</w:t>
            </w:r>
          </w:p>
        </w:tc>
        <w:tc>
          <w:tcPr>
            <w:tcW w:w="2952" w:type="dxa"/>
            <w:tcBorders/>
          </w:tcPr>
          <w:p>
            <w:pPr>
              <w:pStyle w:val="Normal"/>
              <w:snapToGrid w:val="false"/>
              <w:jc w:val="center"/>
              <w:rPr>
                <w:sz w:val="22"/>
              </w:rPr>
            </w:pPr>
            <w:r>
              <w:rPr>
                <w:sz w:val="22"/>
              </w:rPr>
            </w:r>
          </w:p>
        </w:tc>
      </w:tr>
      <w:tr>
        <w:trPr/>
        <w:tc>
          <w:tcPr>
            <w:tcW w:w="2952" w:type="dxa"/>
            <w:tcBorders/>
          </w:tcPr>
          <w:p>
            <w:pPr>
              <w:pStyle w:val="Normal"/>
              <w:rPr>
                <w:sz w:val="22"/>
              </w:rPr>
            </w:pPr>
            <w:r>
              <w:rPr>
                <w:sz w:val="22"/>
              </w:rPr>
              <w:t>July, 2001</w:t>
            </w:r>
          </w:p>
        </w:tc>
        <w:tc>
          <w:tcPr>
            <w:tcW w:w="2952" w:type="dxa"/>
            <w:tcBorders/>
          </w:tcPr>
          <w:p>
            <w:pPr>
              <w:pStyle w:val="Normal"/>
              <w:jc w:val="center"/>
              <w:rPr>
                <w:sz w:val="22"/>
              </w:rPr>
            </w:pPr>
            <w:r>
              <w:rPr>
                <w:sz w:val="22"/>
              </w:rPr>
              <w:t>$2.72000</w:t>
            </w:r>
          </w:p>
        </w:tc>
        <w:tc>
          <w:tcPr>
            <w:tcW w:w="2952" w:type="dxa"/>
            <w:tcBorders/>
          </w:tcPr>
          <w:p>
            <w:pPr>
              <w:pStyle w:val="Normal"/>
              <w:snapToGrid w:val="false"/>
              <w:jc w:val="center"/>
              <w:rPr>
                <w:sz w:val="22"/>
              </w:rPr>
            </w:pPr>
            <w:r>
              <w:rPr>
                <w:sz w:val="22"/>
              </w:rPr>
            </w:r>
          </w:p>
        </w:tc>
      </w:tr>
      <w:tr>
        <w:trPr/>
        <w:tc>
          <w:tcPr>
            <w:tcW w:w="2952" w:type="dxa"/>
            <w:tcBorders/>
          </w:tcPr>
          <w:p>
            <w:pPr>
              <w:pStyle w:val="Normal"/>
              <w:rPr>
                <w:sz w:val="22"/>
              </w:rPr>
            </w:pPr>
            <w:r>
              <w:rPr>
                <w:sz w:val="22"/>
              </w:rPr>
              <w:t>August, 2001</w:t>
            </w:r>
          </w:p>
        </w:tc>
        <w:tc>
          <w:tcPr>
            <w:tcW w:w="2952" w:type="dxa"/>
            <w:tcBorders/>
          </w:tcPr>
          <w:p>
            <w:pPr>
              <w:pStyle w:val="Normal"/>
              <w:jc w:val="center"/>
              <w:rPr>
                <w:sz w:val="22"/>
              </w:rPr>
            </w:pPr>
            <w:r>
              <w:rPr>
                <w:sz w:val="22"/>
              </w:rPr>
              <w:t>$2.72000</w:t>
            </w:r>
          </w:p>
        </w:tc>
        <w:tc>
          <w:tcPr>
            <w:tcW w:w="2952" w:type="dxa"/>
            <w:tcBorders/>
          </w:tcPr>
          <w:p>
            <w:pPr>
              <w:pStyle w:val="Normal"/>
              <w:snapToGrid w:val="false"/>
              <w:jc w:val="center"/>
              <w:rPr>
                <w:sz w:val="22"/>
              </w:rPr>
            </w:pPr>
            <w:r>
              <w:rPr>
                <w:sz w:val="22"/>
              </w:rPr>
            </w:r>
          </w:p>
        </w:tc>
      </w:tr>
      <w:tr>
        <w:trPr/>
        <w:tc>
          <w:tcPr>
            <w:tcW w:w="2952" w:type="dxa"/>
            <w:tcBorders/>
          </w:tcPr>
          <w:p>
            <w:pPr>
              <w:pStyle w:val="Normal"/>
              <w:rPr>
                <w:sz w:val="22"/>
              </w:rPr>
            </w:pPr>
            <w:r>
              <w:rPr>
                <w:sz w:val="22"/>
              </w:rPr>
              <w:t>September, 2001</w:t>
            </w:r>
          </w:p>
        </w:tc>
        <w:tc>
          <w:tcPr>
            <w:tcW w:w="2952" w:type="dxa"/>
            <w:tcBorders/>
          </w:tcPr>
          <w:p>
            <w:pPr>
              <w:pStyle w:val="Normal"/>
              <w:jc w:val="center"/>
              <w:rPr>
                <w:sz w:val="22"/>
              </w:rPr>
            </w:pPr>
            <w:r>
              <w:rPr>
                <w:sz w:val="22"/>
              </w:rPr>
              <w:t>$2.72000</w:t>
            </w:r>
          </w:p>
        </w:tc>
        <w:tc>
          <w:tcPr>
            <w:tcW w:w="2952" w:type="dxa"/>
            <w:tcBorders/>
          </w:tcPr>
          <w:p>
            <w:pPr>
              <w:pStyle w:val="Normal"/>
              <w:snapToGrid w:val="false"/>
              <w:jc w:val="center"/>
              <w:rPr>
                <w:sz w:val="22"/>
              </w:rPr>
            </w:pPr>
            <w:r>
              <w:rPr>
                <w:sz w:val="22"/>
              </w:rPr>
            </w:r>
          </w:p>
        </w:tc>
      </w:tr>
      <w:tr>
        <w:trPr/>
        <w:tc>
          <w:tcPr>
            <w:tcW w:w="2952" w:type="dxa"/>
            <w:tcBorders/>
          </w:tcPr>
          <w:p>
            <w:pPr>
              <w:pStyle w:val="Normal"/>
              <w:rPr>
                <w:sz w:val="22"/>
              </w:rPr>
            </w:pPr>
            <w:r>
              <w:rPr>
                <w:sz w:val="22"/>
              </w:rPr>
              <w:t>October, 2001</w:t>
            </w:r>
          </w:p>
        </w:tc>
        <w:tc>
          <w:tcPr>
            <w:tcW w:w="2952" w:type="dxa"/>
            <w:tcBorders/>
          </w:tcPr>
          <w:p>
            <w:pPr>
              <w:pStyle w:val="Normal"/>
              <w:jc w:val="center"/>
              <w:rPr>
                <w:sz w:val="22"/>
              </w:rPr>
            </w:pPr>
            <w:r>
              <w:rPr>
                <w:sz w:val="22"/>
              </w:rPr>
              <w:t>$2.72000</w:t>
            </w:r>
          </w:p>
        </w:tc>
        <w:tc>
          <w:tcPr>
            <w:tcW w:w="2952" w:type="dxa"/>
            <w:tcBorders/>
          </w:tcPr>
          <w:p>
            <w:pPr>
              <w:pStyle w:val="Normal"/>
              <w:snapToGrid w:val="false"/>
              <w:jc w:val="center"/>
              <w:rPr>
                <w:sz w:val="22"/>
              </w:rPr>
            </w:pPr>
            <w:r>
              <w:rPr>
                <w:sz w:val="22"/>
              </w:rPr>
            </w:r>
          </w:p>
        </w:tc>
      </w:tr>
      <w:tr>
        <w:trPr/>
        <w:tc>
          <w:tcPr>
            <w:tcW w:w="2952" w:type="dxa"/>
            <w:tcBorders/>
          </w:tcPr>
          <w:p>
            <w:pPr>
              <w:pStyle w:val="Normal"/>
              <w:rPr>
                <w:sz w:val="22"/>
              </w:rPr>
            </w:pPr>
            <w:r>
              <w:rPr>
                <w:sz w:val="22"/>
              </w:rPr>
              <w:t>November, 2001</w:t>
            </w:r>
          </w:p>
        </w:tc>
        <w:tc>
          <w:tcPr>
            <w:tcW w:w="2952" w:type="dxa"/>
            <w:tcBorders/>
          </w:tcPr>
          <w:p>
            <w:pPr>
              <w:pStyle w:val="Normal"/>
              <w:jc w:val="center"/>
              <w:rPr>
                <w:sz w:val="22"/>
              </w:rPr>
            </w:pPr>
            <w:r>
              <w:rPr>
                <w:sz w:val="22"/>
              </w:rPr>
              <w:t>$2.72000</w:t>
            </w:r>
          </w:p>
        </w:tc>
        <w:tc>
          <w:tcPr>
            <w:tcW w:w="2952" w:type="dxa"/>
            <w:tcBorders/>
          </w:tcPr>
          <w:p>
            <w:pPr>
              <w:pStyle w:val="Normal"/>
              <w:snapToGrid w:val="false"/>
              <w:jc w:val="center"/>
              <w:rPr>
                <w:sz w:val="22"/>
              </w:rPr>
            </w:pPr>
            <w:r>
              <w:rPr>
                <w:sz w:val="22"/>
              </w:rPr>
            </w:r>
          </w:p>
        </w:tc>
      </w:tr>
      <w:tr>
        <w:trPr/>
        <w:tc>
          <w:tcPr>
            <w:tcW w:w="2952" w:type="dxa"/>
            <w:tcBorders/>
          </w:tcPr>
          <w:p>
            <w:pPr>
              <w:pStyle w:val="Normal"/>
              <w:rPr>
                <w:sz w:val="22"/>
              </w:rPr>
            </w:pPr>
            <w:r>
              <w:rPr>
                <w:sz w:val="22"/>
              </w:rPr>
              <w:t>December, 2001</w:t>
            </w:r>
          </w:p>
        </w:tc>
        <w:tc>
          <w:tcPr>
            <w:tcW w:w="2952" w:type="dxa"/>
            <w:tcBorders/>
          </w:tcPr>
          <w:p>
            <w:pPr>
              <w:pStyle w:val="Normal"/>
              <w:jc w:val="center"/>
              <w:rPr>
                <w:sz w:val="22"/>
              </w:rPr>
            </w:pPr>
            <w:r>
              <w:rPr>
                <w:sz w:val="22"/>
              </w:rPr>
              <w:t>$2.72000</w:t>
            </w:r>
          </w:p>
        </w:tc>
        <w:tc>
          <w:tcPr>
            <w:tcW w:w="2952" w:type="dxa"/>
            <w:tcBorders/>
          </w:tcPr>
          <w:p>
            <w:pPr>
              <w:pStyle w:val="Normal"/>
              <w:snapToGrid w:val="false"/>
              <w:jc w:val="center"/>
              <w:rPr>
                <w:sz w:val="22"/>
              </w:rPr>
            </w:pPr>
            <w:r>
              <w:rPr>
                <w:sz w:val="22"/>
              </w:rPr>
            </w:r>
          </w:p>
        </w:tc>
      </w:tr>
      <w:tr>
        <w:trPr/>
        <w:tc>
          <w:tcPr>
            <w:tcW w:w="2952" w:type="dxa"/>
            <w:tcBorders/>
          </w:tcPr>
          <w:p>
            <w:pPr>
              <w:pStyle w:val="Normal"/>
              <w:snapToGrid w:val="false"/>
              <w:rPr>
                <w:sz w:val="22"/>
              </w:rPr>
            </w:pPr>
            <w:r>
              <w:rPr>
                <w:sz w:val="22"/>
              </w:rPr>
            </w:r>
          </w:p>
        </w:tc>
        <w:tc>
          <w:tcPr>
            <w:tcW w:w="2952" w:type="dxa"/>
            <w:tcBorders/>
          </w:tcPr>
          <w:p>
            <w:pPr>
              <w:pStyle w:val="Normal"/>
              <w:snapToGrid w:val="false"/>
              <w:jc w:val="center"/>
              <w:rPr>
                <w:sz w:val="22"/>
              </w:rPr>
            </w:pPr>
            <w:r>
              <w:rPr>
                <w:sz w:val="22"/>
              </w:rPr>
            </w:r>
          </w:p>
        </w:tc>
        <w:tc>
          <w:tcPr>
            <w:tcW w:w="2952" w:type="dxa"/>
            <w:tcBorders/>
          </w:tcPr>
          <w:p>
            <w:pPr>
              <w:pStyle w:val="Normal"/>
              <w:snapToGrid w:val="false"/>
              <w:jc w:val="center"/>
              <w:rPr>
                <w:sz w:val="22"/>
              </w:rPr>
            </w:pPr>
            <w:r>
              <w:rPr>
                <w:sz w:val="22"/>
              </w:rPr>
            </w:r>
          </w:p>
        </w:tc>
      </w:tr>
    </w:tbl>
    <w:p>
      <w:pPr>
        <w:pStyle w:val="Normal"/>
        <w:rPr/>
      </w:pPr>
      <w:r>
        <w:rPr/>
      </w:r>
    </w:p>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NF1164.1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color w:val="008000"/>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2001-03-08T20:37:00Z</dcterms:created>
  <dc:creator>ECT</dc:creator>
  <dc:description/>
  <dc:language>en-CA</dc:language>
  <cp:lastModifiedBy>jhunte2</cp:lastModifiedBy>
  <dcterms:modified xsi:type="dcterms:W3CDTF">2001-03-08T20:37:00Z</dcterms:modified>
  <cp:revision>2</cp:revision>
  <dc:subject>Mercado Gas Services, Inc.</dc:subject>
  <dc:title>NF1164.1</dc:title>
</cp:coreProperties>
</file>