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tab/>
        <w:tab/>
        <w:tab/>
        <w:tab/>
      </w:r>
      <w:r>
        <mc:AlternateContent>
          <mc:Choice Requires="wps">
            <w:drawing>
              <wp:anchor behindDoc="0" distT="0" distB="0" distL="0" distR="0" simplePos="0" locked="0" layoutInCell="0" allowOverlap="1" relativeHeight="2">
                <wp:simplePos x="0" y="0"/>
                <wp:positionH relativeFrom="margin">
                  <wp:posOffset>0</wp:posOffset>
                </wp:positionH>
                <wp:positionV relativeFrom="margin">
                  <wp:align>top</wp:align>
                </wp:positionV>
                <wp:extent cx="5943600" cy="1024890"/>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1024890"/>
                        </a:xfrm>
                        <a:prstGeom prst="rect"/>
                        <a:solidFill>
                          <a:srgbClr val="FFFFFF">
                            <a:alpha val="0"/>
                          </a:srgbClr>
                        </a:solidFill>
                      </wps:spPr>
                      <wps:txbx>
                        <w:txbxContent>
                          <w:p>
                            <w:pPr>
                              <w:pStyle w:val="Normal"/>
                              <w:jc w:val="center"/>
                              <w:rPr>
                                <w:rFonts w:ascii="Univers" w:hAnsi="Univers" w:cs="Univers"/>
                                <w:smallCaps/>
                                <w:sz w:val="32"/>
                              </w:rPr>
                            </w:pPr>
                            <w:r>
                              <w:rPr>
                                <w:rFonts w:cs="Univers" w:ascii="Univers" w:hAnsi="Univers"/>
                                <w:smallCaps/>
                                <w:sz w:val="32"/>
                              </w:rPr>
                              <w:t>LeBoeuf, Lamb, Greene &amp; MacRae</w:t>
                            </w:r>
                          </w:p>
                          <w:p>
                            <w:pPr>
                              <w:pStyle w:val="Normal"/>
                              <w:jc w:val="center"/>
                              <w:rPr>
                                <w:rFonts w:ascii="Univers" w:hAnsi="Univers" w:cs="Univers"/>
                                <w:smallCaps/>
                              </w:rPr>
                            </w:pPr>
                            <w:r>
                              <w:rPr>
                                <w:rFonts w:cs="Univers" w:ascii="Univers" w:hAnsi="Univers"/>
                                <w:smallCaps/>
                              </w:rPr>
                              <w:t>L.L.P.</w:t>
                            </w:r>
                          </w:p>
                          <w:p>
                            <w:pPr>
                              <w:pStyle w:val="Normal"/>
                              <w:jc w:val="center"/>
                              <w:rPr>
                                <w:rFonts w:ascii="Univers" w:hAnsi="Univers" w:cs="Univers"/>
                                <w:smallCaps/>
                                <w:sz w:val="12"/>
                              </w:rPr>
                            </w:pPr>
                            <w:r>
                              <w:rPr>
                                <w:rFonts w:cs="Univers" w:ascii="Univers" w:hAnsi="Univers"/>
                                <w:smallCaps/>
                                <w:sz w:val="12"/>
                              </w:rPr>
                              <w:t>A LIMITED LIABILITY PARTNERSHIP INCLUDING PROFESSIONAL CORPORATIONS</w:t>
                            </w:r>
                          </w:p>
                          <w:p>
                            <w:pPr>
                              <w:pStyle w:val="Normal"/>
                              <w:jc w:val="center"/>
                              <w:rPr/>
                            </w:pPr>
                            <w:r>
                              <w:fldChar w:fldCharType="begin"/>
                            </w:r>
                            <w:r>
                              <w:rPr/>
                              <w:instrText xml:space="preserve">ADVANCE \d 10</w:instrText>
                            </w:r>
                            <w:r>
                              <w:rPr/>
                            </w:r>
                            <w:r>
                              <w:rPr/>
                              <w:fldChar w:fldCharType="separate"/>
                            </w:r>
                            <w:r>
                              <w:rPr/>
                            </w:r>
                            <w:r>
                              <w:rPr/>
                            </w:r>
                            <w:r>
                              <w:rPr/>
                              <w:fldChar w:fldCharType="end"/>
                            </w:r>
                            <w:r>
                              <w:rPr>
                                <w:rFonts w:cs="Univers" w:ascii="Univers" w:hAnsi="Univers"/>
                                <w:smallCaps/>
                              </w:rPr>
                              <w:t>Goodwin Square</w:t>
                            </w:r>
                          </w:p>
                          <w:p>
                            <w:pPr>
                              <w:pStyle w:val="Normal"/>
                              <w:jc w:val="center"/>
                              <w:rPr/>
                            </w:pPr>
                            <w:r>
                              <w:fldChar w:fldCharType="begin"/>
                            </w:r>
                            <w:r>
                              <w:rPr>
                                <w:spacing w:val="10"/>
                              </w:rPr>
                              <w:instrText xml:space="preserve">ADVANCE \d 4</w:instrText>
                            </w:r>
                            <w:r>
                              <w:rPr>
                                <w:spacing w:val="10"/>
                              </w:rPr>
                            </w:r>
                            <w:r>
                              <w:rPr>
                                <w:spacing w:val="10"/>
                              </w:rPr>
                              <w:fldChar w:fldCharType="separate"/>
                            </w:r>
                            <w:r>
                              <w:rPr>
                                <w:spacing w:val="10"/>
                              </w:rPr>
                            </w:r>
                            <w:r>
                              <w:rPr>
                                <w:spacing w:val="10"/>
                              </w:rPr>
                            </w:r>
                            <w:r>
                              <w:rPr>
                                <w:spacing w:val="10"/>
                              </w:rPr>
                              <w:fldChar w:fldCharType="end"/>
                            </w:r>
                            <w:r>
                              <w:rPr>
                                <w:rFonts w:cs="Univers" w:ascii="Univers" w:hAnsi="Univers"/>
                                <w:smallCaps/>
                              </w:rPr>
                              <w:t>225 Asylum Street</w:t>
                            </w:r>
                          </w:p>
                          <w:p>
                            <w:pPr>
                              <w:pStyle w:val="Normal"/>
                              <w:jc w:val="center"/>
                              <w:rPr/>
                            </w:pPr>
                            <w:r>
                              <w:fldChar w:fldCharType="begin"/>
                            </w:r>
                            <w:r>
                              <w:rPr>
                                <w:spacing w:val="10"/>
                              </w:rPr>
                              <w:instrText xml:space="preserve">ADVANCE \d 4</w:instrText>
                            </w:r>
                            <w:r>
                              <w:rPr>
                                <w:spacing w:val="10"/>
                              </w:rPr>
                            </w:r>
                            <w:r>
                              <w:rPr>
                                <w:spacing w:val="10"/>
                              </w:rPr>
                              <w:fldChar w:fldCharType="separate"/>
                            </w:r>
                            <w:r>
                              <w:rPr>
                                <w:spacing w:val="10"/>
                              </w:rPr>
                            </w:r>
                            <w:r>
                              <w:rPr>
                                <w:spacing w:val="10"/>
                              </w:rPr>
                            </w:r>
                            <w:r>
                              <w:rPr>
                                <w:spacing w:val="10"/>
                              </w:rPr>
                              <w:fldChar w:fldCharType="end"/>
                            </w:r>
                            <w:r>
                              <w:rPr>
                                <w:rFonts w:cs="Univers" w:ascii="Univers" w:hAnsi="Univers"/>
                                <w:smallCaps/>
                              </w:rPr>
                              <w:t>Hartford, CT  06103</w:t>
                            </w:r>
                          </w:p>
                        </w:txbxContent>
                      </wps:txbx>
                      <wps:bodyPr anchor="t" lIns="0" tIns="0" rIns="0" bIns="0">
                        <a:noAutofit/>
                      </wps:bodyPr>
                    </wps:wsp>
                  </a:graphicData>
                </a:graphic>
              </wp:anchor>
            </w:drawing>
          </mc:Choice>
          <mc:Fallback>
            <w:pict>
              <v:rect fillcolor="#FFFFFF" style="position:absolute;rotation:-0;width:468pt;height:80.7pt;mso-wrap-distance-left:0pt;mso-wrap-distance-right:0pt;mso-wrap-distance-top:0pt;mso-wrap-distance-bottom:0pt;margin-top:0pt;mso-position-vertical:top;mso-position-vertical-relative:margin;margin-left:0pt;mso-position-horizontal-relative:margin">
                <v:fill opacity="0f"/>
                <v:textbox inset="0in,0in,0in,0in">
                  <w:txbxContent>
                    <w:p>
                      <w:pPr>
                        <w:pStyle w:val="Normal"/>
                        <w:jc w:val="center"/>
                        <w:rPr>
                          <w:rFonts w:ascii="Univers" w:hAnsi="Univers" w:cs="Univers"/>
                          <w:smallCaps/>
                          <w:sz w:val="32"/>
                        </w:rPr>
                      </w:pPr>
                      <w:r>
                        <w:rPr>
                          <w:rFonts w:cs="Univers" w:ascii="Univers" w:hAnsi="Univers"/>
                          <w:smallCaps/>
                          <w:sz w:val="32"/>
                        </w:rPr>
                        <w:t>LeBoeuf, Lamb, Greene &amp; MacRae</w:t>
                      </w:r>
                    </w:p>
                    <w:p>
                      <w:pPr>
                        <w:pStyle w:val="Normal"/>
                        <w:jc w:val="center"/>
                        <w:rPr>
                          <w:rFonts w:ascii="Univers" w:hAnsi="Univers" w:cs="Univers"/>
                          <w:smallCaps/>
                        </w:rPr>
                      </w:pPr>
                      <w:r>
                        <w:rPr>
                          <w:rFonts w:cs="Univers" w:ascii="Univers" w:hAnsi="Univers"/>
                          <w:smallCaps/>
                        </w:rPr>
                        <w:t>L.L.P.</w:t>
                      </w:r>
                    </w:p>
                    <w:p>
                      <w:pPr>
                        <w:pStyle w:val="Normal"/>
                        <w:jc w:val="center"/>
                        <w:rPr>
                          <w:rFonts w:ascii="Univers" w:hAnsi="Univers" w:cs="Univers"/>
                          <w:smallCaps/>
                          <w:sz w:val="12"/>
                        </w:rPr>
                      </w:pPr>
                      <w:r>
                        <w:rPr>
                          <w:rFonts w:cs="Univers" w:ascii="Univers" w:hAnsi="Univers"/>
                          <w:smallCaps/>
                          <w:sz w:val="12"/>
                        </w:rPr>
                        <w:t>A LIMITED LIABILITY PARTNERSHIP INCLUDING PROFESSIONAL CORPORATIONS</w:t>
                      </w:r>
                    </w:p>
                    <w:p>
                      <w:pPr>
                        <w:pStyle w:val="Normal"/>
                        <w:jc w:val="center"/>
                        <w:rPr/>
                      </w:pPr>
                      <w:r>
                        <w:fldChar w:fldCharType="begin"/>
                      </w:r>
                      <w:r>
                        <w:rPr/>
                        <w:instrText xml:space="preserve">ADVANCE \d 10</w:instrText>
                      </w:r>
                      <w:r>
                        <w:rPr/>
                      </w:r>
                      <w:r>
                        <w:rPr/>
                        <w:fldChar w:fldCharType="separate"/>
                      </w:r>
                      <w:r>
                        <w:rPr/>
                      </w:r>
                      <w:r>
                        <w:rPr/>
                      </w:r>
                      <w:r>
                        <w:rPr/>
                        <w:fldChar w:fldCharType="end"/>
                      </w:r>
                      <w:r>
                        <w:rPr>
                          <w:rFonts w:cs="Univers" w:ascii="Univers" w:hAnsi="Univers"/>
                          <w:smallCaps/>
                        </w:rPr>
                        <w:t>Goodwin Square</w:t>
                      </w:r>
                    </w:p>
                    <w:p>
                      <w:pPr>
                        <w:pStyle w:val="Normal"/>
                        <w:jc w:val="center"/>
                        <w:rPr/>
                      </w:pPr>
                      <w:r>
                        <w:fldChar w:fldCharType="begin"/>
                      </w:r>
                      <w:r>
                        <w:rPr>
                          <w:spacing w:val="10"/>
                        </w:rPr>
                        <w:instrText xml:space="preserve">ADVANCE \d 4</w:instrText>
                      </w:r>
                      <w:r>
                        <w:rPr>
                          <w:spacing w:val="10"/>
                        </w:rPr>
                      </w:r>
                      <w:r>
                        <w:rPr>
                          <w:spacing w:val="10"/>
                        </w:rPr>
                        <w:fldChar w:fldCharType="separate"/>
                      </w:r>
                      <w:r>
                        <w:rPr>
                          <w:spacing w:val="10"/>
                        </w:rPr>
                      </w:r>
                      <w:r>
                        <w:rPr>
                          <w:spacing w:val="10"/>
                        </w:rPr>
                      </w:r>
                      <w:r>
                        <w:rPr>
                          <w:spacing w:val="10"/>
                        </w:rPr>
                        <w:fldChar w:fldCharType="end"/>
                      </w:r>
                      <w:r>
                        <w:rPr>
                          <w:rFonts w:cs="Univers" w:ascii="Univers" w:hAnsi="Univers"/>
                          <w:smallCaps/>
                        </w:rPr>
                        <w:t>225 Asylum Street</w:t>
                      </w:r>
                    </w:p>
                    <w:p>
                      <w:pPr>
                        <w:pStyle w:val="Normal"/>
                        <w:jc w:val="center"/>
                        <w:rPr/>
                      </w:pPr>
                      <w:r>
                        <w:fldChar w:fldCharType="begin"/>
                      </w:r>
                      <w:r>
                        <w:rPr>
                          <w:spacing w:val="10"/>
                        </w:rPr>
                        <w:instrText xml:space="preserve">ADVANCE \d 4</w:instrText>
                      </w:r>
                      <w:r>
                        <w:rPr>
                          <w:spacing w:val="10"/>
                        </w:rPr>
                      </w:r>
                      <w:r>
                        <w:rPr>
                          <w:spacing w:val="10"/>
                        </w:rPr>
                        <w:fldChar w:fldCharType="separate"/>
                      </w:r>
                      <w:r>
                        <w:rPr>
                          <w:spacing w:val="10"/>
                        </w:rPr>
                      </w:r>
                      <w:r>
                        <w:rPr>
                          <w:spacing w:val="10"/>
                        </w:rPr>
                      </w:r>
                      <w:r>
                        <w:rPr>
                          <w:spacing w:val="10"/>
                        </w:rPr>
                        <w:fldChar w:fldCharType="end"/>
                      </w:r>
                      <w:r>
                        <w:rPr>
                          <w:rFonts w:cs="Univers" w:ascii="Univers" w:hAnsi="Univers"/>
                          <w:smallCaps/>
                        </w:rPr>
                        <w:t>Hartford, CT  06103</w:t>
                      </w:r>
                    </w:p>
                  </w:txbxContent>
                </v:textbox>
                <w10:wrap type="square"/>
              </v:rect>
            </w:pict>
          </mc:Fallback>
        </mc:AlternateContent>
      </w:r>
    </w:p>
    <w:p>
      <w:pPr>
        <w:pStyle w:val="Normal"/>
        <w:rPr>
          <w:spacing w:val="10"/>
        </w:rPr>
      </w:pPr>
      <w:r>
        <w:rPr/>
        <w:tab/>
        <w:tab/>
        <w:tab/>
        <w:tab/>
        <w:tab/>
        <w:tab/>
      </w:r>
    </w:p>
    <w:p>
      <w:pPr>
        <w:sectPr>
          <w:footerReference w:type="default" r:id="rId2"/>
          <w:footerReference w:type="first" r:id="rId3"/>
          <w:type w:val="nextPage"/>
          <w:pgSz w:w="12240" w:h="15840"/>
          <w:pgMar w:left="1440" w:right="1440" w:gutter="0" w:header="0" w:top="720" w:footer="720" w:bottom="776"/>
          <w:pgNumType w:fmt="decimal"/>
          <w:formProt w:val="false"/>
          <w:titlePg/>
          <w:textDirection w:val="lrTb"/>
          <w:docGrid w:type="default" w:linePitch="360" w:charSpace="0"/>
        </w:sectPr>
      </w:pPr>
    </w:p>
    <w:p>
      <w:pPr>
        <w:pStyle w:val="Normal"/>
        <w:ind w:start="-1440" w:end="0"/>
        <w:rPr/>
      </w:pPr>
      <w:r>
        <w:rPr>
          <w:rStyle w:val="univers11"/>
          <w:rFonts w:cs="Times New Roman"/>
          <w:sz w:val="24"/>
        </w:rPr>
        <w:t>TO:</w:t>
      </w:r>
      <w:r>
        <w:rPr/>
        <w:tab/>
        <w:tab/>
        <w:t>Chuck Welsh</w:t>
      </w:r>
    </w:p>
    <w:p>
      <w:pPr>
        <w:sectPr>
          <w:type w:val="continuous"/>
          <w:pgSz w:w="12240" w:h="15840"/>
          <w:pgMar w:left="2880" w:right="1440" w:gutter="0" w:header="0" w:top="720" w:footer="720" w:bottom="776"/>
          <w:formProt w:val="false"/>
          <w:titlePg/>
          <w:textDirection w:val="lrTb"/>
          <w:docGrid w:type="default" w:linePitch="360" w:charSpace="0"/>
        </w:sectPr>
      </w:pPr>
    </w:p>
    <w:p>
      <w:pPr>
        <w:pStyle w:val="Normal"/>
        <w:rPr>
          <w:spacing w:val="10"/>
        </w:rPr>
      </w:pPr>
      <w:r>
        <w:rPr>
          <w:spacing w:val="10"/>
        </w:rPr>
      </w:r>
    </w:p>
    <w:p>
      <w:pPr>
        <w:pStyle w:val="Normal"/>
        <w:rPr/>
      </w:pPr>
      <w:r>
        <w:rPr>
          <w:rStyle w:val="univers11"/>
          <w:rFonts w:cs="Times New Roman"/>
          <w:sz w:val="24"/>
        </w:rPr>
        <w:t>FROM:</w:t>
      </w:r>
      <w:r>
        <w:rPr/>
        <w:tab/>
        <w:t>Brian P. Iaia</w:t>
      </w:r>
    </w:p>
    <w:p>
      <w:pPr>
        <w:pStyle w:val="Normal"/>
        <w:rPr/>
      </w:pPr>
      <w:r>
        <w:rPr/>
      </w:r>
    </w:p>
    <w:p>
      <w:pPr>
        <w:pStyle w:val="Normal"/>
        <w:rPr/>
      </w:pPr>
      <w:r>
        <w:rPr>
          <w:rStyle w:val="univers11"/>
          <w:rFonts w:cs="Times New Roman"/>
          <w:sz w:val="24"/>
        </w:rPr>
        <w:t>RE:</w:t>
      </w:r>
      <w:r>
        <w:rPr/>
        <w:tab/>
        <w:tab/>
        <w:t>Enron North America Corp./Purchase</w:t>
      </w:r>
    </w:p>
    <w:p>
      <w:pPr>
        <w:pStyle w:val="Normal"/>
        <w:rPr/>
      </w:pPr>
      <w:r>
        <w:rPr/>
        <w:tab/>
        <w:tab/>
        <w:t>of Fuel Cells</w:t>
      </w:r>
    </w:p>
    <w:p>
      <w:pPr>
        <w:pStyle w:val="Normal"/>
        <w:rPr/>
      </w:pPr>
      <w:r>
        <w:rPr/>
      </w:r>
    </w:p>
    <w:p>
      <w:pPr>
        <w:pStyle w:val="Normal"/>
        <w:rPr/>
      </w:pPr>
      <w:r>
        <w:rPr/>
        <w:t>DATE:</w:t>
        <w:tab/>
        <w:tab/>
        <w:t>March 16, 2001</w:t>
      </w:r>
    </w:p>
    <w:p>
      <w:pPr>
        <w:pStyle w:val="Normal"/>
        <w:rPr/>
      </w:pPr>
      <w:r>
        <w:rPr/>
      </w:r>
    </w:p>
    <w:p>
      <w:pPr>
        <w:pStyle w:val="Normal"/>
        <w:rPr/>
      </w:pPr>
      <w:r>
        <w:rPr/>
      </w:r>
    </w:p>
    <w:p>
      <w:pPr>
        <w:pStyle w:val="Equity1"/>
        <w:numPr>
          <w:ilvl w:val="0"/>
          <w:numId w:val="0"/>
        </w:numPr>
        <w:ind w:hanging="0" w:start="0"/>
        <w:rPr/>
      </w:pPr>
      <w:r>
        <w:rPr/>
        <w:t>INTRODUCTION:</w:t>
      </w:r>
    </w:p>
    <w:p>
      <w:pPr>
        <w:pStyle w:val="Normal"/>
        <w:ind w:firstLine="720" w:end="0"/>
        <w:rPr/>
      </w:pPr>
      <w:r>
        <w:rPr/>
      </w:r>
    </w:p>
    <w:p>
      <w:pPr>
        <w:pStyle w:val="Normal"/>
        <w:ind w:firstLine="720" w:end="0"/>
        <w:rPr/>
      </w:pPr>
      <w:r>
        <w:rPr/>
        <w:t>You have asked me to review certain provisions in the fuel cell purchase agreement (the "Purchase Agreement") between Enron North America Corp. ("Enron") and Fuelcell Energy Inc. ("Fuelcell"), to determine under Connecticut UCC law, the effect of Enron granting Fuelcell a security interest in the fuel cell that is the subject of said Purchase Agreement.  Capitalized terms used herein and not otherwise defined herein have the meaning assigned to them in the Purchase Agreement.</w:t>
      </w:r>
    </w:p>
    <w:p>
      <w:pPr>
        <w:pStyle w:val="Equity2"/>
        <w:numPr>
          <w:ilvl w:val="0"/>
          <w:numId w:val="0"/>
        </w:numPr>
        <w:ind w:firstLine="720" w:start="0" w:end="0"/>
        <w:rPr/>
      </w:pPr>
      <w:r>
        <w:rPr/>
      </w:r>
    </w:p>
    <w:p>
      <w:pPr>
        <w:pStyle w:val="Normal"/>
        <w:rPr>
          <w:b/>
        </w:rPr>
      </w:pPr>
      <w:r>
        <w:rPr>
          <w:b/>
        </w:rPr>
        <w:t>PURCHASE AGREEMENT:</w:t>
      </w:r>
    </w:p>
    <w:p>
      <w:pPr>
        <w:pStyle w:val="Normal"/>
        <w:rPr/>
      </w:pPr>
      <w:r>
        <w:rPr/>
      </w:r>
    </w:p>
    <w:p>
      <w:pPr>
        <w:pStyle w:val="Normal"/>
        <w:ind w:firstLine="720" w:end="0"/>
        <w:rPr/>
      </w:pPr>
      <w:r>
        <w:rPr/>
        <w:t xml:space="preserve">Pursuant to </w:t>
      </w:r>
      <w:r>
        <w:rPr>
          <w:u w:val="single"/>
        </w:rPr>
        <w:t>Section 6.6</w:t>
      </w:r>
      <w:r>
        <w:rPr/>
        <w:t>, Enron is required to grant Fuelcell a security interest in all Units or Equipment delivered to the Site.  Such security interest is to be a collateral security interest for payment of the requisite Purchase Amount (collateral simply means the property that is subject to a security interest).  Enron is required to execute and deliver to Fuelcell such Uniform Commercial Code financing statements as Fuelcell requests in order to perfect such security interest.  Contemporaneous with receipt of the Purchase Amount for all of the Units at a given Site, Fuelcell is required to provide Enron with a Lien Release.</w:t>
      </w:r>
    </w:p>
    <w:p>
      <w:pPr>
        <w:pStyle w:val="Normal"/>
        <w:rPr/>
      </w:pPr>
      <w:r>
        <w:rPr/>
      </w:r>
    </w:p>
    <w:p>
      <w:pPr>
        <w:pStyle w:val="Normal"/>
        <w:ind w:firstLine="720" w:end="0"/>
        <w:rPr/>
      </w:pPr>
      <w:r>
        <w:rPr/>
        <w:t xml:space="preserve">Pursuant to </w:t>
      </w:r>
      <w:r>
        <w:rPr>
          <w:u w:val="single"/>
        </w:rPr>
        <w:t>Section 15.2</w:t>
      </w:r>
      <w:r>
        <w:rPr/>
        <w:t>, title to the Units and Equipment will not pass from Fuelcell to Enron until payment is made in full.  In addition, Fuelcell warrants that legal title to and ownership of the Equipment … shall be free and clear of any and all liens, claims, security interests or other encumbrances when title thereto passes to Enron.</w:t>
      </w:r>
    </w:p>
    <w:p>
      <w:pPr>
        <w:pStyle w:val="Normal"/>
        <w:ind w:firstLine="720" w:end="0"/>
        <w:rPr/>
      </w:pPr>
      <w:r>
        <w:rPr/>
      </w:r>
    </w:p>
    <w:p>
      <w:pPr>
        <w:pStyle w:val="Normal"/>
        <w:ind w:firstLine="720" w:end="0"/>
        <w:rPr/>
      </w:pPr>
      <w:r>
        <w:rPr/>
        <w:t xml:space="preserve">Pursuant to </w:t>
      </w:r>
      <w:r>
        <w:rPr>
          <w:u w:val="single"/>
        </w:rPr>
        <w:t>Section 6.1.1</w:t>
      </w:r>
      <w:r>
        <w:rPr/>
        <w:t xml:space="preserve">, Payment is due within seven (7) days of Enron's receipt of an invoice for such.  However, Fuelcell will not invoice Enron, until Enron has "Accepted" the equipment, which, pursuant to </w:t>
      </w:r>
      <w:r>
        <w:rPr>
          <w:u w:val="single"/>
        </w:rPr>
        <w:t>Section 10.6</w:t>
      </w:r>
      <w:r>
        <w:rPr/>
        <w:t xml:space="preserve">, involves a complete Performance Test and Enron's submission to Fuelcell of a certificate evidencing Enron's satisfaction with the performance of such equipment. </w:t>
      </w:r>
    </w:p>
    <w:p>
      <w:pPr>
        <w:pStyle w:val="Normal"/>
        <w:ind w:firstLine="720" w:end="0"/>
        <w:rPr/>
      </w:pPr>
      <w:r>
        <w:rPr/>
      </w:r>
    </w:p>
    <w:p>
      <w:pPr>
        <w:pStyle w:val="Normal"/>
        <w:ind w:firstLine="720" w:end="0"/>
        <w:rPr/>
      </w:pPr>
      <w:r>
        <w:rPr/>
      </w:r>
    </w:p>
    <w:p>
      <w:pPr>
        <w:pStyle w:val="Normal"/>
        <w:ind w:firstLine="720" w:end="0"/>
        <w:rPr/>
      </w:pPr>
      <w:r>
        <w:rPr/>
      </w:r>
    </w:p>
    <w:p>
      <w:pPr>
        <w:pStyle w:val="Equity1"/>
        <w:numPr>
          <w:ilvl w:val="0"/>
          <w:numId w:val="0"/>
        </w:numPr>
        <w:ind w:hanging="0" w:start="0"/>
        <w:rPr/>
      </w:pPr>
      <w:r>
        <w:rPr/>
        <w:t>ARTICLE 9:</w:t>
      </w:r>
    </w:p>
    <w:p>
      <w:pPr>
        <w:pStyle w:val="Normal"/>
        <w:ind w:firstLine="720" w:end="0"/>
        <w:rPr/>
      </w:pPr>
      <w:r>
        <w:rPr/>
      </w:r>
    </w:p>
    <w:p>
      <w:pPr>
        <w:pStyle w:val="TOC1"/>
        <w:numPr>
          <w:ilvl w:val="0"/>
          <w:numId w:val="0"/>
        </w:numPr>
        <w:tabs>
          <w:tab w:val="clear" w:pos="10800"/>
        </w:tabs>
        <w:ind w:hanging="0" w:start="0"/>
        <w:outlineLvl w:val="9"/>
        <w:rPr>
          <w:lang w:val="en-US"/>
        </w:rPr>
      </w:pPr>
      <w:r>
        <w:rPr>
          <w:lang w:val="en-US"/>
        </w:rPr>
        <w:tab/>
        <w:t>The following are relevant provisions of the Connecticut Uniform Commercial Code for purposes of this analysis:</w:t>
      </w:r>
    </w:p>
    <w:p>
      <w:pPr>
        <w:pStyle w:val="TOC1"/>
        <w:numPr>
          <w:ilvl w:val="0"/>
          <w:numId w:val="0"/>
        </w:numPr>
        <w:tabs>
          <w:tab w:val="clear" w:pos="10800"/>
        </w:tabs>
        <w:ind w:hanging="0" w:start="0"/>
        <w:outlineLvl w:val="9"/>
        <w:rPr>
          <w:lang w:val="en-US"/>
        </w:rPr>
      </w:pPr>
      <w:r>
        <w:rPr>
          <w:lang w:val="en-US"/>
        </w:rPr>
        <w:t xml:space="preserve"> </w:t>
      </w:r>
    </w:p>
    <w:p>
      <w:pPr>
        <w:pStyle w:val="Normal"/>
        <w:ind w:firstLine="720" w:end="0"/>
        <w:rPr/>
      </w:pPr>
      <w:r>
        <w:rPr>
          <w:u w:val="single"/>
        </w:rPr>
        <w:t>Security Interest</w:t>
      </w:r>
      <w:r>
        <w:rPr/>
        <w:t xml:space="preserve">.  Pursuant to CGS §42a-1-201(37), a "security interest" is an interest in personal property or fixtures, which secures payment or performance of an obligation.  The retention or reservation of title by a seller of goods notwithstanding shipment or delivery to the buyer is limited in effect to a reservation of a "security interest". The term also includes any interest of a buyer of accounts or chattel paper which is subject to Article 9. The special property interest of a buyer of goods on identification of those goods to a contract for sale under §42a-2-401 is not a "security interest", but a buyer may also acquire a "security interest" by complying with Article 9. Unless a consignment is intended as security, reservation of title thereunder is not a "security interest", but a consignment in any event is subject to the provisions on consignment sales. </w:t>
      </w:r>
    </w:p>
    <w:p>
      <w:pPr>
        <w:pStyle w:val="Normal"/>
        <w:rPr/>
      </w:pPr>
      <w:r>
        <w:rPr/>
      </w:r>
    </w:p>
    <w:p>
      <w:pPr>
        <w:pStyle w:val="Normal"/>
        <w:ind w:firstLine="720" w:end="0"/>
        <w:rPr/>
      </w:pPr>
      <w:r>
        <w:rPr>
          <w:u w:val="single"/>
        </w:rPr>
        <w:t>Classification of Goods</w:t>
      </w:r>
      <w:r>
        <w:rPr/>
        <w:t xml:space="preserve">.  Pursuant to CGS §42a-9-109, "goods" are classified as: (1) "consumer goods" if they are used or bought for use primarily for personal, family or household purposes; (2) "equipment" if they are used or bought for use primarily in business (including farming or a profession) or by a debtor who is a non-profit organization or a governmental subdivision or agency or if the goods are </w:t>
      </w:r>
      <w:r>
        <w:rPr>
          <w:u w:val="single"/>
        </w:rPr>
        <w:t>not</w:t>
      </w:r>
      <w:r>
        <w:rPr/>
        <w:t xml:space="preserve"> included in the definitions of inventory, farm products or consumer goods; (3) "farm products" if they are crops or livestock or supplies used or produced in farming operations or if they are products of crops or livestock in their unmanufactured states (such as ginned cotton, wool-clip, maple syrup, milk and eggs), and if they are in the possession of a debtor engaged in raising, fattening, grazing or other farming operations. If goods are farm products they are neither equipment nor inventory; (4) "inventory" if they are held by a person who holds them for sale or lease or to be furnished under contracts of service or if he has so furnished them, or if they are raw materials, work in process or materials used or consumed in a business. Inventory of a person is not to be classified as his equipment. </w:t>
      </w:r>
    </w:p>
    <w:p>
      <w:pPr>
        <w:pStyle w:val="Normal"/>
        <w:rPr/>
      </w:pPr>
      <w:r>
        <w:rPr/>
      </w:r>
    </w:p>
    <w:p>
      <w:pPr>
        <w:pStyle w:val="Normal"/>
        <w:rPr/>
      </w:pPr>
      <w:r>
        <w:rPr/>
        <w:tab/>
      </w:r>
      <w:r>
        <w:rPr>
          <w:u w:val="single"/>
        </w:rPr>
        <w:t>Fixtures</w:t>
      </w:r>
      <w:r>
        <w:rPr/>
        <w:t xml:space="preserve">.  Pursuant to CGS §42a-9-313, "goods" are "fixtures" when they become so related to particular real estate that an interest in them arises under real estate law. </w:t>
      </w:r>
    </w:p>
    <w:p>
      <w:pPr>
        <w:pStyle w:val="Normal"/>
        <w:rPr/>
      </w:pPr>
      <w:r>
        <w:rPr/>
      </w:r>
    </w:p>
    <w:p>
      <w:pPr>
        <w:pStyle w:val="Normal"/>
        <w:ind w:firstLine="720" w:end="0"/>
        <w:rPr/>
      </w:pPr>
      <w:r>
        <w:rPr>
          <w:u w:val="single"/>
        </w:rPr>
        <w:t>Purchase Money Security Interest</w:t>
      </w:r>
      <w:r>
        <w:rPr/>
        <w:t>.  Pursuant to CGS §42a-9-107, a security interest is a "purchase money security interest" to the extent that it is (a) taken or retained by the seller of the collateral to secure all or part of its price; or (b) taken by a person who by making advances or incurring an obligation gives value to enable the debtor to acquire rights in or the use of collateral if such value is in fact so used</w:t>
      </w:r>
    </w:p>
    <w:p>
      <w:pPr>
        <w:pStyle w:val="Normal"/>
        <w:ind w:firstLine="720" w:end="0"/>
        <w:rPr/>
      </w:pPr>
      <w:r>
        <w:rPr/>
      </w:r>
    </w:p>
    <w:p>
      <w:pPr>
        <w:pStyle w:val="Equity1"/>
        <w:numPr>
          <w:ilvl w:val="0"/>
          <w:numId w:val="0"/>
        </w:numPr>
        <w:ind w:hanging="0" w:start="0"/>
        <w:rPr/>
      </w:pPr>
      <w:r>
        <w:rPr/>
        <w:t>ANALYSIS:</w:t>
      </w:r>
    </w:p>
    <w:p>
      <w:pPr>
        <w:pStyle w:val="Normal"/>
        <w:rPr/>
      </w:pPr>
      <w:r>
        <w:rPr/>
      </w:r>
    </w:p>
    <w:p>
      <w:pPr>
        <w:pStyle w:val="Normal"/>
        <w:rPr/>
      </w:pPr>
      <w:r>
        <w:rPr/>
        <w:tab/>
      </w:r>
      <w:r>
        <w:rPr>
          <w:u w:val="single"/>
        </w:rPr>
        <w:t>Classification of the Collateral</w:t>
      </w:r>
      <w:r>
        <w:rPr/>
        <w:t xml:space="preserve">.  Based on our understanding of the nature and description of the fuel cell, (a large electrochemical power generator, which, although movable, will be in a stationary position), the fuel cell would appear to be best characterized as "equipment" for purposes of Connecticut's UCC.  Although, upon installation, it may well become a fixture. </w:t>
      </w:r>
    </w:p>
    <w:p>
      <w:pPr>
        <w:pStyle w:val="Normal"/>
        <w:ind w:firstLine="720" w:end="0"/>
        <w:rPr/>
      </w:pPr>
      <w:r>
        <w:rPr/>
      </w:r>
    </w:p>
    <w:p>
      <w:pPr>
        <w:pStyle w:val="Normal"/>
        <w:ind w:firstLine="720" w:end="0"/>
        <w:rPr/>
      </w:pPr>
      <w:r>
        <w:rPr>
          <w:u w:val="single"/>
        </w:rPr>
        <w:t>Effect of Reservation of Title.</w:t>
      </w:r>
      <w:r>
        <w:rPr/>
        <w:t xml:space="preserve">  CGS § 42a-1-201(37) states that "the retention or reservation of title by a seller of goods notwithstanding shipment or delivery to the buyer </w:t>
      </w:r>
      <w:r>
        <w:rPr>
          <w:u w:val="single"/>
        </w:rPr>
        <w:t>is limited in effect to a reservation of a 'security interest</w:t>
      </w:r>
      <w:r>
        <w:rPr/>
        <w:t xml:space="preserve">.'"  Therefore, pursuant to section 15.2 of the Purchase Agreement (retention of title language), Fuelcell has, in effect, reserved a security interest in the fuel cell.  However, it has not perfected said security interest, and it appears that the reason Fuelcell wants Enron to grant them a security interest, and subsequently execute UCC financing statements, is so Fuelcell can perfect its security interest and protect their position in the collateral. </w:t>
      </w:r>
    </w:p>
    <w:p>
      <w:pPr>
        <w:pStyle w:val="Normal"/>
        <w:ind w:firstLine="720" w:end="0"/>
        <w:rPr/>
      </w:pPr>
      <w:r>
        <w:rPr/>
      </w:r>
    </w:p>
    <w:p>
      <w:pPr>
        <w:pStyle w:val="Normal"/>
        <w:ind w:firstLine="720" w:end="0"/>
        <w:rPr/>
      </w:pPr>
      <w:r>
        <w:rPr>
          <w:u w:val="single"/>
        </w:rPr>
        <w:t>Perfection.</w:t>
      </w:r>
      <w:r>
        <w:rPr/>
        <w:t xml:space="preserve">  There are three ways to perfect a security interest: through filing financing statements (which Fuelcell is requesting), by taking possession (Fuelcell has relinquished possession), and through automatic attachment, which is not applicable to these facts.  There is not, however, perfection in the reservation of title language in the contract. In addition, even if (i) Fuelcell’s interest is a purchase money security interest, or (ii) the equipment becomes a fixture, the security interest can only be perfected by filing a financing statement.</w:t>
      </w:r>
    </w:p>
    <w:p>
      <w:pPr>
        <w:pStyle w:val="Normal"/>
        <w:ind w:firstLine="720" w:end="0"/>
        <w:rPr/>
      </w:pPr>
      <w:r>
        <w:rPr/>
      </w:r>
    </w:p>
    <w:p>
      <w:pPr>
        <w:pStyle w:val="Normal"/>
        <w:ind w:firstLine="720" w:end="0"/>
        <w:rPr/>
      </w:pPr>
      <w:r>
        <w:rPr/>
        <w:t xml:space="preserve">Enron's granting of the security interest and executing UCC-1 financing statements is merely an exercise in perfecting the security interest.  The granting of a security interest should not affect Enron's ability to obtain third party financing, because Fuelcell’s security interest in the fuel cell will be released immediately upon payment, which is when the third-party financing would take effect.  If Enron does specifically grant the security interest, Enron should request that Fuelcell deliver signed UCC lien releases, in escrow, contemporaneous with the execution of UCC-1 financing statements, with the understanding and acknowledgement that such releases will be immediately filed upon Fuelcell's receipt of payment from Enron.  This way, Fuelcell's security interest will last only briefly, and will be immediately released upon Enron's tender of payment. </w:t>
      </w:r>
    </w:p>
    <w:p>
      <w:pPr>
        <w:pStyle w:val="TOC1"/>
        <w:numPr>
          <w:ilvl w:val="0"/>
          <w:numId w:val="0"/>
        </w:numPr>
        <w:tabs>
          <w:tab w:val="clear" w:pos="10800"/>
        </w:tabs>
        <w:ind w:hanging="0" w:start="0"/>
        <w:outlineLvl w:val="9"/>
        <w:rPr>
          <w:lang w:val="en-US"/>
        </w:rPr>
      </w:pPr>
      <w:r>
        <w:rPr>
          <w:lang w:val="en-US"/>
        </w:rPr>
      </w:r>
    </w:p>
    <w:p>
      <w:pPr>
        <w:pStyle w:val="Equity1"/>
        <w:numPr>
          <w:ilvl w:val="0"/>
          <w:numId w:val="0"/>
        </w:numPr>
        <w:ind w:hanging="0" w:start="0"/>
        <w:rPr/>
      </w:pPr>
      <w:r>
        <w:rPr/>
        <w:t>CONCLUSION:</w:t>
      </w:r>
    </w:p>
    <w:p>
      <w:pPr>
        <w:pStyle w:val="Normal"/>
        <w:rPr/>
      </w:pPr>
      <w:r>
        <w:rPr/>
      </w:r>
    </w:p>
    <w:p>
      <w:pPr>
        <w:pStyle w:val="Normal"/>
        <w:rPr/>
      </w:pPr>
      <w:r>
        <w:rPr/>
        <w:tab/>
        <w:t>Based on the foregoing, under Connecticut's UCC statute, Fuelcell's reservation of title language in the Purchase Agreement amounts to a reservation of a security interest in the fuel cell itself.  Enron's specific granting of a security interest and the signing and filing of UCC-1 financing statements results in the perfection of the security interest.  Should this occur, we advise that Enron obtain and timely file the UCC lien releases, which will release Fuelcell's security interest upon Enron's tender of payment.</w:t>
      </w:r>
    </w:p>
    <w:sectPr>
      <w:type w:val="continuous"/>
      <w:pgSz w:w="12240" w:h="15840"/>
      <w:pgMar w:left="1440" w:right="1440" w:gutter="0" w:header="0" w:top="720"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 w:name="WP MathB">
    <w:charset w:val="02"/>
    <w:family w:val="auto"/>
    <w:pitch w:val="variable"/>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4"/>
      </w:rPr>
    </w:pPr>
    <w:r>
      <w:rPr>
        <w:sz w:val="14"/>
      </w:rPr>
      <w:t>HT 188599.3  06898 00698</w:t>
    </w:r>
  </w:p>
  <w:p>
    <w:pPr>
      <w:pStyle w:val="Normal"/>
      <w:rPr/>
    </w:pPr>
    <w:r>
      <w:rPr/>
      <w:fldChar w:fldCharType="begin"/>
    </w:r>
    <w:r>
      <w:rPr/>
      <w:instrText xml:space="preserve"> DATE \@"M\/d\/yy" </w:instrText>
    </w:r>
    <w:r>
      <w:rPr/>
      <w:fldChar w:fldCharType="separate"/>
    </w:r>
    <w:r>
      <w:rPr/>
      <w:t>9/28/25</w:t>
    </w:r>
    <w:r>
      <w:rPr/>
      <w:fldChar w:fldCharType="end"/>
    </w:r>
    <w:r>
      <w:rPr>
        <w:sz w:val="14"/>
      </w:rPr>
      <w:t xml:space="preserve"> </w:t>
    </w:r>
    <w:r>
      <w:rPr>
        <w:sz w:val="14"/>
      </w:rPr>
      <w:fldChar w:fldCharType="begin"/>
    </w:r>
    <w:r>
      <w:rPr>
        <w:sz w:val="14"/>
      </w:rPr>
      <w:instrText xml:space="preserve"> TIME \@"H:mm\ AM/PM" </w:instrText>
    </w:r>
    <w:r>
      <w:rPr>
        <w:sz w:val="14"/>
      </w:rPr>
      <w:fldChar w:fldCharType="separate"/>
    </w:r>
    <w:r>
      <w:rPr>
        <w:sz w:val="14"/>
      </w:rPr>
      <w:t>9:34 AM</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 xml:space="preserve">HT 189378v2 </w:t>
    </w:r>
  </w:p>
  <w:p>
    <w:pPr>
      <w:pStyle w:val="Footer"/>
      <w:rPr>
        <w:sz w:val="18"/>
      </w:rPr>
    </w:pPr>
    <w:r>
      <w:rPr>
        <w:sz w:val="18"/>
      </w:rPr>
      <w:fldChar w:fldCharType="begin"/>
    </w:r>
    <w:r>
      <w:rPr>
        <w:sz w:val="18"/>
      </w:rPr>
      <w:instrText xml:space="preserve"> DATE \@"M\/d\/yy\ H:mm\ AM/PM" </w:instrText>
    </w:r>
    <w:r>
      <w:rPr>
        <w:sz w:val="18"/>
      </w:rPr>
      <w:fldChar w:fldCharType="separate"/>
    </w:r>
    <w:r>
      <w:rPr>
        <w:sz w:val="18"/>
      </w:rPr>
      <w:t>9/28/25 9:34 AM</w:t>
    </w:r>
    <w:r>
      <w:rPr>
        <w:sz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lvl>
    <w:lvl w:ilvl="1">
      <w:start w:val="1"/>
      <w:pStyle w:val="Heading2"/>
      <w:isLgl/>
      <w:numFmt w:val="decimalZero"/>
      <w:lvlText w:val="Section %1.%2."/>
      <w:lvlJc w:val="start"/>
      <w:pPr>
        <w:tabs>
          <w:tab w:val="num" w:pos="2520"/>
        </w:tabs>
        <w:ind w:start="0" w:firstLine="720"/>
      </w:pPr>
    </w:lvl>
    <w:lvl w:ilvl="2">
      <w:start w:val="1"/>
      <w:pStyle w:val="Heading3"/>
      <w:numFmt w:val="lowerLetter"/>
      <w:lvlText w:val="(%3)"/>
      <w:lvlJc w:val="start"/>
      <w:pPr>
        <w:tabs>
          <w:tab w:val="num" w:pos="1800"/>
        </w:tabs>
        <w:ind w:start="720" w:firstLine="720"/>
      </w:pPr>
    </w:lvl>
    <w:lvl w:ilvl="3">
      <w:start w:val="1"/>
      <w:pStyle w:val="Heading4"/>
      <w:numFmt w:val="lowerRoman"/>
      <w:lvlText w:val="(%4)"/>
      <w:lvlJc w:val="start"/>
      <w:pPr>
        <w:tabs>
          <w:tab w:val="num" w:pos="2880"/>
        </w:tabs>
        <w:ind w:start="1440" w:firstLine="720"/>
      </w:pPr>
    </w:lvl>
    <w:lvl w:ilvl="4">
      <w:start w:val="1"/>
      <w:pStyle w:val="Heading5"/>
      <w:numFmt w:val="decimal"/>
      <w:lvlText w:val="%5)"/>
      <w:lvlJc w:val="start"/>
      <w:pPr>
        <w:tabs>
          <w:tab w:val="num" w:pos="3240"/>
        </w:tabs>
        <w:ind w:start="2160" w:firstLine="720"/>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2">
    <w:lvl w:ilvl="0">
      <w:start w:val="1"/>
      <w:numFmt w:val="upperRoman"/>
      <w:suff w:val="nothing"/>
      <w:lvlText w:val="ARTICLE %1."/>
      <w:lvlJc w:val="start"/>
      <w:pPr>
        <w:tabs>
          <w:tab w:val="num" w:pos="0"/>
        </w:tabs>
        <w:ind w:start="0" w:hanging="0"/>
      </w:pPr>
    </w:lvl>
    <w:lvl w:ilvl="1">
      <w:start w:val="1"/>
      <w:isLgl/>
      <w:numFmt w:val="decimalZero"/>
      <w:lvlText w:val="Section %1.%2."/>
      <w:lvlJc w:val="start"/>
      <w:pPr>
        <w:tabs>
          <w:tab w:val="num" w:pos="2160"/>
        </w:tabs>
        <w:ind w:start="0" w:firstLine="720"/>
      </w:pPr>
    </w:lvl>
    <w:lvl w:ilvl="2">
      <w:start w:val="1"/>
      <w:numFmt w:val="lowerLetter"/>
      <w:lvlText w:val="(%3)"/>
      <w:lvlJc w:val="start"/>
      <w:pPr>
        <w:tabs>
          <w:tab w:val="num" w:pos="1800"/>
        </w:tabs>
        <w:ind w:start="0" w:firstLine="1440"/>
      </w:pPr>
    </w:lvl>
    <w:lvl w:ilvl="3">
      <w:start w:val="1"/>
      <w:numFmt w:val="lowerRoman"/>
      <w:lvlText w:val="(%4)"/>
      <w:lvlJc w:val="start"/>
      <w:pPr>
        <w:tabs>
          <w:tab w:val="num" w:pos="2880"/>
        </w:tabs>
        <w:ind w:start="720" w:firstLine="1440"/>
      </w:pPr>
    </w:lvl>
    <w:lvl w:ilvl="4">
      <w:start w:val="1"/>
      <w:numFmt w:val="upperLetter"/>
      <w:lvlText w:val="(%5)"/>
      <w:lvlJc w:val="start"/>
      <w:pPr>
        <w:tabs>
          <w:tab w:val="num" w:pos="3240"/>
        </w:tabs>
        <w:ind w:start="720" w:firstLine="2160"/>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3">
    <w:lvl w:ilvl="0">
      <w:start w:val="1"/>
      <w:numFmt w:val="decimal"/>
      <w:lvlText w:val="%1."/>
      <w:lvlJc w:val="start"/>
      <w:pPr>
        <w:tabs>
          <w:tab w:val="num" w:pos="360"/>
        </w:tabs>
        <w:ind w:start="0" w:hanging="0"/>
      </w:pPr>
    </w:lvl>
    <w:lvl w:ilvl="1">
      <w:start w:val="1"/>
      <w:numFmt w:val="decimalZero"/>
      <w:lvlText w:val="%1.%2."/>
      <w:lvlJc w:val="start"/>
      <w:pPr>
        <w:tabs>
          <w:tab w:val="num" w:pos="1080"/>
        </w:tabs>
        <w:ind w:start="0" w:firstLine="720"/>
      </w:pPr>
    </w:lvl>
    <w:lvl w:ilvl="2">
      <w:start w:val="1"/>
      <w:numFmt w:val="lowerLetter"/>
      <w:lvlText w:val="(%3)"/>
      <w:lvlJc w:val="start"/>
      <w:pPr>
        <w:tabs>
          <w:tab w:val="num" w:pos="1800"/>
        </w:tabs>
        <w:ind w:start="0" w:firstLine="1440"/>
      </w:pPr>
    </w:lvl>
    <w:lvl w:ilvl="3">
      <w:start w:val="1"/>
      <w:numFmt w:val="lowerRoman"/>
      <w:lvlText w:val="(%4)"/>
      <w:lvlJc w:val="start"/>
      <w:pPr>
        <w:tabs>
          <w:tab w:val="num" w:pos="2880"/>
        </w:tabs>
        <w:ind w:start="720" w:firstLine="1440"/>
      </w:pPr>
    </w:lvl>
    <w:lvl w:ilvl="4">
      <w:start w:val="1"/>
      <w:numFmt w:val="upperLetter"/>
      <w:lvlText w:val="(%5)"/>
      <w:lvlJc w:val="start"/>
      <w:pPr>
        <w:tabs>
          <w:tab w:val="num" w:pos="3240"/>
        </w:tabs>
        <w:ind w:start="720" w:firstLine="2160"/>
      </w:pPr>
    </w:lvl>
    <w:lvl w:ilvl="5">
      <w:start w:val="1"/>
      <w:numFmt w:val="upperRoman"/>
      <w:lvlText w:val="(%6)"/>
      <w:lvlJc w:val="start"/>
      <w:pPr>
        <w:tabs>
          <w:tab w:val="num" w:pos="4320"/>
        </w:tabs>
        <w:ind w:start="1440" w:firstLine="2160"/>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kern w:val="2"/>
    </w:rPr>
  </w:style>
  <w:style w:type="paragraph" w:styleId="Heading2">
    <w:name w:val="heading 2"/>
    <w:basedOn w:val="Normal"/>
    <w:next w:val="Normal"/>
    <w:qFormat/>
    <w:pPr>
      <w:numPr>
        <w:ilvl w:val="1"/>
        <w:numId w:val="1"/>
      </w:numPr>
      <w:tabs>
        <w:tab w:val="clear" w:pos="720"/>
        <w:tab w:val="left" w:pos="2160" w:leader="none"/>
      </w:tabs>
      <w:outlineLvl w:val="1"/>
    </w:pPr>
    <w:rPr/>
  </w:style>
  <w:style w:type="paragraph" w:styleId="Heading3">
    <w:name w:val="heading 3"/>
    <w:basedOn w:val="Normal"/>
    <w:next w:val="Normal"/>
    <w:qFormat/>
    <w:pPr>
      <w:numPr>
        <w:ilvl w:val="2"/>
        <w:numId w:val="1"/>
      </w:numPr>
      <w:tabs>
        <w:tab w:val="clear" w:pos="720"/>
        <w:tab w:val="left" w:pos="2160" w:leader="none"/>
      </w:tabs>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tabs>
        <w:tab w:val="clear" w:pos="720"/>
        <w:tab w:val="left" w:pos="3600" w:leader="none"/>
      </w:tabs>
      <w:outlineLvl w:val="4"/>
    </w:pPr>
    <w:rPr/>
  </w:style>
  <w:style w:type="paragraph" w:styleId="Heading6">
    <w:name w:val="heading 6"/>
    <w:basedOn w:val="Normal"/>
    <w:next w:val="Normal"/>
    <w:qFormat/>
    <w:pPr>
      <w:keepNext w:val="true"/>
      <w:outlineLvl w:val="5"/>
    </w:pPr>
    <w:rPr>
      <w:b/>
      <w:u w:val="single"/>
    </w:rPr>
  </w:style>
  <w:style w:type="character" w:styleId="WW8Num3z0">
    <w:name w:val="WW8Num3z0"/>
    <w:qFormat/>
    <w:rPr>
      <w:rFonts w:ascii="Symbol" w:hAnsi="Symbol" w:cs="Symbol"/>
    </w:rPr>
  </w:style>
  <w:style w:type="character" w:styleId="WW8Num5z0">
    <w:name w:val="WW8Num5z0"/>
    <w:qFormat/>
    <w:rPr>
      <w:rFonts w:ascii="WP TypographicSymbols" w:hAnsi="WP TypographicSymbols" w:cs="WP TypographicSymbol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style>
  <w:style w:type="character" w:styleId="WW8Num11z0">
    <w:name w:val="WW8Num11z0"/>
    <w:qFormat/>
    <w:rPr>
      <w:rFonts w:ascii="Symbol" w:hAnsi="Symbol" w:cs="Symbol"/>
    </w:rPr>
  </w:style>
  <w:style w:type="character" w:styleId="WW8Num12z0">
    <w:name w:val="WW8Num12z0"/>
    <w:qFormat/>
    <w:rPr>
      <w:rFonts w:ascii="WP TypographicSymbols" w:hAnsi="WP TypographicSymbols" w:cs="WP TypographicSymbol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WP TypographicSymbols" w:hAnsi="WP TypographicSymbols" w:cs="WP TypographicSymbol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St57z0">
    <w:name w:val="WW8NumSt57z0"/>
    <w:qFormat/>
    <w:rPr>
      <w:rFonts w:ascii="Symbol" w:hAnsi="Symbol" w:cs="Symbol"/>
    </w:rPr>
  </w:style>
  <w:style w:type="character" w:styleId="DefaultParagraphFont">
    <w:name w:val="Default Paragraph Font"/>
    <w:qFormat/>
    <w:rPr/>
  </w:style>
  <w:style w:type="character" w:styleId="univers11">
    <w:name w:val="univers11"/>
    <w:qFormat/>
    <w:rPr>
      <w:rFonts w:ascii="WP MathB" w:hAnsi="WP MathB" w:cs="WP MathB"/>
      <w:sz w:val="22"/>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Emphasis">
    <w:name w:val="Emphasis"/>
    <w:basedOn w:val="DefaultParagraphFont"/>
    <w:qFormat/>
    <w:rPr>
      <w:i/>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8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quity1">
    <w:name w:val="Equity 1"/>
    <w:basedOn w:val="Normal"/>
    <w:next w:val="Normal"/>
    <w:qFormat/>
    <w:pPr>
      <w:numPr>
        <w:ilvl w:val="0"/>
        <w:numId w:val="3"/>
      </w:numPr>
      <w:tabs>
        <w:tab w:val="clear" w:pos="720"/>
      </w:tabs>
    </w:pPr>
    <w:rPr>
      <w:b/>
    </w:rPr>
  </w:style>
  <w:style w:type="paragraph" w:styleId="Equity2">
    <w:name w:val="Equity 2"/>
    <w:basedOn w:val="Normal"/>
    <w:next w:val="Normal"/>
    <w:qFormat/>
    <w:pPr>
      <w:numPr>
        <w:ilvl w:val="0"/>
        <w:numId w:val="3"/>
      </w:numPr>
    </w:pPr>
    <w:rPr/>
  </w:style>
  <w:style w:type="paragraph" w:styleId="Equity3">
    <w:name w:val="Equity 3"/>
    <w:basedOn w:val="Normal"/>
    <w:next w:val="Normal"/>
    <w:qFormat/>
    <w:pPr>
      <w:numPr>
        <w:ilvl w:val="0"/>
        <w:numId w:val="3"/>
      </w:numPr>
      <w:tabs>
        <w:tab w:val="clear" w:pos="720"/>
      </w:tabs>
    </w:pPr>
    <w:rPr/>
  </w:style>
  <w:style w:type="paragraph" w:styleId="Equity4">
    <w:name w:val="Equity 4"/>
    <w:basedOn w:val="Normal"/>
    <w:next w:val="Normal"/>
    <w:qFormat/>
    <w:pPr>
      <w:numPr>
        <w:ilvl w:val="0"/>
        <w:numId w:val="3"/>
      </w:numPr>
    </w:pPr>
    <w:rPr/>
  </w:style>
  <w:style w:type="paragraph" w:styleId="Equity5">
    <w:name w:val="Equity 5"/>
    <w:basedOn w:val="Normal"/>
    <w:next w:val="Normal"/>
    <w:qFormat/>
    <w:pPr>
      <w:numPr>
        <w:ilvl w:val="0"/>
        <w:numId w:val="3"/>
      </w:numPr>
      <w:tabs>
        <w:tab w:val="clear" w:pos="720"/>
      </w:tabs>
    </w:pPr>
    <w:rPr/>
  </w:style>
  <w:style w:type="paragraph" w:styleId="Equity6">
    <w:name w:val="Equity 6"/>
    <w:basedOn w:val="Normal"/>
    <w:next w:val="Normal"/>
    <w:qFormat/>
    <w:pPr>
      <w:numPr>
        <w:ilvl w:val="0"/>
        <w:numId w:val="3"/>
      </w:numPr>
    </w:pPr>
    <w:rPr/>
  </w:style>
  <w:style w:type="paragraph" w:styleId="TOC1">
    <w:name w:val="toc 1"/>
    <w:basedOn w:val="Normal"/>
    <w:next w:val="Normal"/>
    <w:pPr>
      <w:numPr>
        <w:ilvl w:val="0"/>
        <w:numId w:val="2"/>
      </w:numPr>
      <w:tabs>
        <w:tab w:val="clear" w:pos="720"/>
        <w:tab w:val="right" w:pos="10800" w:leader="dot"/>
      </w:tabs>
      <w:outlineLvl w:val="0"/>
    </w:pPr>
    <w:rPr>
      <w:lang w:val="en-CA"/>
    </w:rPr>
  </w:style>
  <w:style w:type="paragraph" w:styleId="TOC2">
    <w:name w:val="toc 2"/>
    <w:basedOn w:val="Normal"/>
    <w:next w:val="Normal"/>
    <w:pPr>
      <w:numPr>
        <w:ilvl w:val="0"/>
        <w:numId w:val="2"/>
      </w:numPr>
      <w:tabs>
        <w:tab w:val="clear" w:pos="720"/>
        <w:tab w:val="right" w:pos="10800" w:leader="dot"/>
      </w:tabs>
      <w:outlineLvl w:val="1"/>
    </w:pPr>
    <w:rPr>
      <w:lang w:val="en-CA"/>
    </w:rPr>
  </w:style>
  <w:style w:type="paragraph" w:styleId="TOC3">
    <w:name w:val="toc 3"/>
    <w:basedOn w:val="Normal"/>
    <w:next w:val="Normal"/>
    <w:pPr>
      <w:numPr>
        <w:ilvl w:val="0"/>
        <w:numId w:val="2"/>
      </w:numPr>
      <w:tabs>
        <w:tab w:val="clear" w:pos="720"/>
        <w:tab w:val="right" w:pos="10800" w:leader="dot"/>
      </w:tabs>
      <w:outlineLvl w:val="2"/>
    </w:pPr>
    <w:rPr>
      <w:lang w:val="en-CA"/>
    </w:rPr>
  </w:style>
  <w:style w:type="paragraph" w:styleId="TOC4">
    <w:name w:val="toc 4"/>
    <w:basedOn w:val="Normal"/>
    <w:next w:val="Normal"/>
    <w:pPr>
      <w:numPr>
        <w:ilvl w:val="0"/>
        <w:numId w:val="2"/>
      </w:numPr>
      <w:tabs>
        <w:tab w:val="clear" w:pos="720"/>
        <w:tab w:val="right" w:pos="10800" w:leader="dot"/>
      </w:tabs>
      <w:outlineLvl w:val="3"/>
    </w:pPr>
    <w:rPr>
      <w:lang w:val="en-CA"/>
    </w:rPr>
  </w:style>
  <w:style w:type="paragraph" w:styleId="2Bullets">
    <w:name w:val="2Bullets"/>
    <w:qFormat/>
    <w:pPr>
      <w:widowControl/>
      <w:tabs>
        <w:tab w:val="left" w:pos="720" w:leader="none"/>
        <w:tab w:val="left" w:pos="1440" w:leader="none"/>
      </w:tabs>
      <w:bidi w:val="0"/>
      <w:ind w:hanging="720" w:start="1440" w:end="0"/>
    </w:pPr>
    <w:rPr>
      <w:rFonts w:ascii="Times New Roman" w:hAnsi="Times New Roman" w:eastAsia="Times New Roman" w:cs="Times New Roman"/>
      <w:color w:val="auto"/>
      <w:sz w:val="24"/>
      <w:szCs w:val="20"/>
      <w:lang w:val="en-US" w:eastAsia="en-US"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ind w:firstLine="720" w:start="1800" w:end="0"/>
    </w:pPr>
    <w:rPr/>
  </w:style>
  <w:style w:type="paragraph" w:styleId="BodyTextIndent3">
    <w:name w:val="Body Text Indent 3"/>
    <w:basedOn w:val="Normal"/>
    <w:qFormat/>
    <w:pPr>
      <w:ind w:hanging="1440" w:start="1440" w:end="0"/>
    </w:pPr>
    <w:rPr/>
  </w:style>
  <w:style w:type="paragraph" w:styleId="H4">
    <w:name w:val="H4"/>
    <w:basedOn w:val="Normal"/>
    <w:next w:val="Normal"/>
    <w:qFormat/>
    <w:pPr>
      <w:keepNext w:val="true"/>
      <w:spacing w:before="100" w:after="100"/>
      <w:outlineLvl w:val="4"/>
    </w:pPr>
    <w:rPr>
      <w:b/>
      <w:lang w:eastAsia="en-US"/>
    </w:rPr>
  </w:style>
  <w:style w:type="paragraph" w:styleId="FootnoteText">
    <w:name w:val="footnote text"/>
    <w:basedOn w:val="Normal"/>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2001-03-16T12:48:00Z</dcterms:created>
  <dc:creator>Dawn Alguard</dc:creator>
  <dc:description/>
  <dc:language>en-CA</dc:language>
  <cp:lastModifiedBy>Dawn Alguard</cp:lastModifiedBy>
  <cp:lastPrinted>2001-03-18T21:44:00Z</cp:lastPrinted>
  <dcterms:modified xsi:type="dcterms:W3CDTF">2001-03-19T00:17:00Z</dcterms:modified>
  <cp:revision>12</cp:revision>
  <dc:subject/>
  <dc:title>LEBOEUF, LAMB, GREENE &amp; MACRAE</dc:title>
</cp:coreProperties>
</file>