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Courier;Courier New" w:hAnsi="Courier;Courier New" w:cs="Courier;Courier New"/>
        </w:rPr>
      </w:pPr>
      <w:r>
        <w:rPr>
          <w:rFonts w:cs="Courier;Courier New" w:ascii="Courier;Courier New" w:hAnsi="Courier;Courier New"/>
        </w:rPr>
        <w:t>6099-000</w:t>
        <w:tab/>
        <w:t>Code No. 11</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IN THE DISTRICT COURT OF TULSA COUNTY</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STATE OF OKLAHOMA</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NATIONAL ENERGY PRODUCTION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CORP.,</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Plaintiff,</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v.</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left" w:pos="-1440" w:leader="none"/>
          <w:tab w:val="left" w:pos="-720" w:leader="none"/>
          <w:tab w:val="left" w:pos="0" w:leader="none"/>
          <w:tab w:val="left" w:pos="720" w:leader="none"/>
          <w:tab w:val="left" w:pos="1440" w:leader="none"/>
          <w:tab w:val="left" w:pos="2160" w:leader="none"/>
          <w:tab w:val="center" w:pos="4680" w:leader="none"/>
        </w:tabs>
        <w:jc w:val="both"/>
        <w:rPr>
          <w:rFonts w:ascii="Courier;Courier New" w:hAnsi="Courier;Courier New" w:cs="Courier;Courier New"/>
        </w:rPr>
      </w:pPr>
      <w:r>
        <w:rPr>
          <w:rFonts w:cs="Courier;Courier New" w:ascii="Courier;Courier New" w:hAnsi="Courier;Courier New"/>
        </w:rPr>
        <w:t>INTERNATIONAL</w:t>
        <w:tab/>
        <w:t>___________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Local No. 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Business agents/local officials;</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individuals, and A through XX</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being fictitious names of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persons whose true names are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otherwise unknown to the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Plaintiff, but who are the</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persons assembled at or near</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the premises of National Energy</w:t>
        <w:tab/>
        <w:t>)</w:t>
        <w:tab/>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Production Corporation in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Jenks, Oklahoma,</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whose names will be added by</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amendment when ascertained,</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tab/>
        <w:t>Case No. _____________</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Defendants.</w:t>
        <w:tab/>
        <w:t>)</w:t>
        <w:tab/>
        <w:t>Judge ________________</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r>
      <w:r>
        <w:rPr>
          <w:rFonts w:cs="Courier;Courier New" w:ascii="Courier;Courier New" w:hAnsi="Courier;Courier New"/>
          <w:b/>
        </w:rPr>
        <w:t>MEMORANDUM OF LAW IN SUPPORT OF</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r>
      <w:r>
        <w:rPr>
          <w:rFonts w:cs="Courier;Courier New" w:ascii="Courier;Courier New" w:hAnsi="Courier;Courier New"/>
          <w:b/>
          <w:u w:val="single"/>
        </w:rPr>
        <w:t>TEMPORARY RESTRAINING ORDER</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National Energy Production Corporation ("NEPCO"), Plaintiff in the above-numbered cause of action, respectfully files this Memorandum in support of its application for temporary restraining order.</w:t>
      </w:r>
    </w:p>
    <w:p>
      <w:pPr>
        <w:pStyle w:val="QuickI"/>
        <w:widowControl/>
        <w:tabs>
          <w:tab w:val="clear" w:pos="720"/>
          <w:tab w:val="left" w:pos="-1440" w:leader="none"/>
        </w:tabs>
        <w:jc w:val="both"/>
        <w:rPr/>
      </w:pPr>
      <w:r>
        <w:rPr>
          <w:rFonts w:cs="Courier;Courier New" w:ascii="Courier;Courier New" w:hAnsi="Courier;Courier New"/>
          <w:b/>
        </w:rPr>
        <w:fldChar w:fldCharType="begin"/>
      </w:r>
      <w:r>
        <w:rPr>
          <w:b/>
          <w:rFonts w:cs="Courier;Courier New" w:ascii="Courier;Courier New" w:hAnsi="Courier;Courier New"/>
        </w:rPr>
        <w:instrText xml:space="preserve"> SEQ I.,_II., \* ROMAN </w:instrText>
      </w:r>
      <w:r>
        <w:rPr>
          <w:b/>
          <w:rFonts w:cs="Courier;Courier New" w:ascii="Courier;Courier New" w:hAnsi="Courier;Courier New"/>
        </w:rPr>
        <w:fldChar w:fldCharType="separate"/>
      </w:r>
      <w:r>
        <w:rPr>
          <w:b/>
          <w:rFonts w:cs="Courier;Courier New" w:ascii="Courier;Courier New" w:hAnsi="Courier;Courier New"/>
        </w:rPr>
      </w:r>
      <w:r>
        <w:rPr>
          <w:b/>
          <w:rFonts w:cs="Courier;Courier New" w:ascii="Courier;Courier New" w:hAnsi="Courier;Courier New"/>
        </w:rPr>
        <w:fldChar w:fldCharType="end"/>
      </w:r>
      <w:r>
        <w:rPr>
          <w:rFonts w:cs="Courier;Courier New" w:ascii="Courier;Courier New" w:hAnsi="Courier;Courier New"/>
          <w:b/>
        </w:rPr>
        <w:t>.</w:t>
        <w:tab/>
        <w:t>The National Labor Relations Act, As Amended, Does Not Divest This State Court Of Jurisdiction Over Matters Of Particular Local Concern</w:t>
      </w:r>
    </w:p>
    <w:p>
      <w:pPr>
        <w:pStyle w:val="Normal"/>
        <w:widowControl/>
        <w:jc w:val="both"/>
        <w:rPr>
          <w:rFonts w:ascii="Courier;Courier New" w:hAnsi="Courier;Courier New" w:cs="Courier;Courier New"/>
          <w:b/>
        </w:rPr>
      </w:pPr>
      <w:r>
        <w:rPr>
          <w:rFonts w:cs="Courier;Courier New" w:ascii="Courier;Courier New" w:hAnsi="Courier;Courier New"/>
          <w:b/>
        </w:rPr>
      </w:r>
    </w:p>
    <w:p>
      <w:pPr>
        <w:sectPr>
          <w:type w:val="nextPage"/>
          <w:pgSz w:w="12240" w:h="15840"/>
          <w:pgMar w:left="1440" w:right="1440" w:gutter="0" w:header="0" w:top="1440" w:footer="0" w:bottom="720"/>
          <w:pgNumType w:fmt="decimal"/>
          <w:formProt w:val="false"/>
          <w:textDirection w:val="lrTb"/>
          <w:docGrid w:type="default" w:linePitch="360" w:charSpace="0"/>
        </w:sectPr>
      </w:pPr>
    </w:p>
    <w:p>
      <w:pPr>
        <w:pStyle w:val="Normal"/>
        <w:numPr>
          <w:ilvl w:val="0"/>
          <w:numId w:val="0"/>
        </w:numPr>
        <w:rPr>
          <w:rFonts w:ascii="Courier;Courier New" w:hAnsi="Courier;Courier New" w:cs="Courier;Courier New"/>
          <w:b/>
        </w:rPr>
      </w:pPr>
      <w:r>
        <w:rPr>
          <w:rFonts w:cs="Courier;Courier New" w:ascii="Courier;Courier New" w:hAnsi="Courier;Courier New"/>
          <w:b/>
        </w:rPr>
      </w:r>
    </w:p>
    <w:p>
      <w:pPr>
        <w:sectPr>
          <w:type w:val="continuous"/>
          <w:pgSz w:w="12240" w:h="15840"/>
          <w:pgMar w:left="1440" w:right="1440" w:gutter="0" w:header="0" w:top="1440" w:footer="0" w:bottom="720"/>
          <w:formProt w:val="false"/>
          <w:textDirection w:val="lrTb"/>
          <w:docGrid w:type="default" w:linePitch="360" w:charSpace="0"/>
        </w:sectPr>
      </w:pPr>
    </w:p>
    <w:p>
      <w:pPr>
        <w:pStyle w:val="Normal"/>
        <w:widowControl/>
        <w:spacing w:lineRule="auto" w:line="480"/>
        <w:ind w:firstLine="720" w:end="0"/>
        <w:jc w:val="both"/>
        <w:rPr/>
      </w:pPr>
      <w:r>
        <w:rPr>
          <w:rFonts w:cs="Courier;Courier New" w:ascii="Courier;Courier New" w:hAnsi="Courier;Courier New"/>
        </w:rPr>
        <w:t xml:space="preserve">While the National Labor Relations Board ("NLRB") normally has exclusive jurisdiction over conduct that is either protected or prohibited by the National Labor Relations Act ("NLRA"), </w:t>
      </w:r>
      <w:r>
        <w:rPr>
          <w:rFonts w:cs="Courier;Courier New" w:ascii="Courier;Courier New" w:hAnsi="Courier;Courier New"/>
          <w:i/>
        </w:rPr>
        <w:t>see, e.g., Wisconsin Dept. of Indus. v. Gould, Inc.</w:t>
      </w:r>
      <w:r>
        <w:rPr>
          <w:rFonts w:cs="Courier;Courier New" w:ascii="Courier;Courier New" w:hAnsi="Courier;Courier New"/>
        </w:rPr>
        <w:t xml:space="preserve">, 475 U.S. 282 (1986) (state statute preempted by NLRA); </w:t>
      </w:r>
      <w:r>
        <w:rPr>
          <w:rFonts w:cs="Courier;Courier New" w:ascii="Courier;Courier New" w:hAnsi="Courier;Courier New"/>
          <w:i/>
        </w:rPr>
        <w:t>International Union of Operating Engineers v. Jones</w:t>
      </w:r>
      <w:r>
        <w:rPr>
          <w:rFonts w:cs="Courier;Courier New" w:ascii="Courier;Courier New" w:hAnsi="Courier;Courier New"/>
        </w:rPr>
        <w:t xml:space="preserve">, 460 U.S. 669 (1983) (supervisor's tort claim against union preempted by NLRA), a clearly recognized exception exists when the conduct involved is of only peripheral concern to the federal law or touches interests that are deeply rooted in local feeling and responsibility.  </w:t>
      </w:r>
      <w:r>
        <w:rPr>
          <w:rFonts w:cs="Courier;Courier New" w:ascii="Courier;Courier New" w:hAnsi="Courier;Courier New"/>
          <w:i/>
        </w:rPr>
        <w:t>San Diego Bldg. Trades Council v. Garmon</w:t>
      </w:r>
      <w:r>
        <w:rPr>
          <w:rFonts w:cs="Courier;Courier New" w:ascii="Courier;Courier New" w:hAnsi="Courier;Courier New"/>
        </w:rPr>
        <w:t xml:space="preserve">, 359 U.S. 236, 245 (1959).  The United States Supreme Court has repeatedly recognized this exception.  </w:t>
      </w:r>
      <w:r>
        <w:rPr>
          <w:rFonts w:cs="Courier;Courier New" w:ascii="Courier;Courier New" w:hAnsi="Courier;Courier New"/>
          <w:i/>
        </w:rPr>
        <w:t>See, e.g., Belknap, Inc. v. Hale</w:t>
      </w:r>
      <w:r>
        <w:rPr>
          <w:rFonts w:cs="Courier;Courier New" w:ascii="Courier;Courier New" w:hAnsi="Courier;Courier New"/>
        </w:rPr>
        <w:t xml:space="preserve">, 463 U.S. 491 (1983) (NLRA does not preempt suit by strike replacements against employer for misrepresentation and breach of contract); </w:t>
      </w:r>
      <w:r>
        <w:rPr>
          <w:rFonts w:cs="Courier;Courier New" w:ascii="Courier;Courier New" w:hAnsi="Courier;Courier New"/>
          <w:i/>
        </w:rPr>
        <w:t>Sears, Roebuck &amp; Co. v. San Diego County Dist. Council of Carpenters</w:t>
      </w:r>
      <w:r>
        <w:rPr>
          <w:rFonts w:cs="Courier;Courier New" w:ascii="Courier;Courier New" w:hAnsi="Courier;Courier New"/>
        </w:rPr>
        <w:t xml:space="preserve">, 436 U.S. 180 (1978) (NLRA does not preempt suit to enjoin peaceful trespassory union picketing on employer's property); </w:t>
      </w:r>
      <w:r>
        <w:rPr>
          <w:rFonts w:cs="Courier;Courier New" w:ascii="Courier;Courier New" w:hAnsi="Courier;Courier New"/>
          <w:i/>
        </w:rPr>
        <w:t>Farmer v. United Brotherhood of Carpenters &amp; Joiners</w:t>
      </w:r>
      <w:r>
        <w:rPr>
          <w:rFonts w:cs="Courier;Courier New" w:ascii="Courier;Courier New" w:hAnsi="Courier;Courier New"/>
        </w:rPr>
        <w:t xml:space="preserve">, 430 U.S. 290 (1977) (NLRA does not preempt state court jurisdiction over suit for relief of union picketing); </w:t>
      </w:r>
      <w:r>
        <w:rPr>
          <w:rFonts w:cs="Courier;Courier New" w:ascii="Courier;Courier New" w:hAnsi="Courier;Courier New"/>
          <w:i/>
        </w:rPr>
        <w:t>Vaca v. Sipes</w:t>
      </w:r>
      <w:r>
        <w:rPr>
          <w:rFonts w:cs="Courier;Courier New" w:ascii="Courier;Courier New" w:hAnsi="Courier;Courier New"/>
        </w:rPr>
        <w:t xml:space="preserve">, 386 U.S. 171 (1967) (NLRA does not preempt state court jurisdiction over claims of violence or intimidation, even though such conduct occurred in a labor dispute); </w:t>
      </w:r>
      <w:r>
        <w:rPr>
          <w:rFonts w:cs="Courier;Courier New" w:ascii="Courier;Courier New" w:hAnsi="Courier;Courier New"/>
          <w:i/>
        </w:rPr>
        <w:t>Linn v. United Plant Guard Workers</w:t>
      </w:r>
      <w:r>
        <w:rPr>
          <w:rFonts w:cs="Courier;Courier New" w:ascii="Courier;Courier New" w:hAnsi="Courier;Courier New"/>
        </w:rPr>
        <w:t xml:space="preserve">, 383 U.S. 53 (1966) (NLRA does not preempt a libel suit arising out of a labor dispute so long as the libel was issued with knowledge of its falsity or with a reckless disregard of whether it was true or false); </w:t>
      </w:r>
      <w:r>
        <w:rPr>
          <w:rFonts w:cs="Courier;Courier New" w:ascii="Courier;Courier New" w:hAnsi="Courier;Courier New"/>
          <w:i/>
        </w:rPr>
        <w:t>Retail Clerks Int'l Assn. v. Schermerhorn</w:t>
      </w:r>
      <w:r>
        <w:rPr>
          <w:rFonts w:cs="Courier;Courier New" w:ascii="Courier;Courier New" w:hAnsi="Courier;Courier New"/>
        </w:rPr>
        <w:t>, 375 U.S. 96 (1963) (NLRA does not preempt state courts' jurisdiction to enforce state right-to-work laws by granting declaratory and injunctive relief against enforcement of an agency-shop clause).</w:t>
      </w:r>
    </w:p>
    <w:p>
      <w:pPr>
        <w:pStyle w:val="Normal"/>
        <w:widowControl/>
        <w:spacing w:lineRule="auto" w:line="480"/>
        <w:ind w:firstLine="720" w:end="0"/>
        <w:jc w:val="both"/>
        <w:rPr/>
      </w:pPr>
      <w:r>
        <w:rPr>
          <w:rFonts w:cs="Courier;Courier New" w:ascii="Courier;Courier New" w:hAnsi="Courier;Courier New"/>
        </w:rPr>
        <w:t xml:space="preserve">In </w:t>
      </w:r>
      <w:r>
        <w:rPr>
          <w:rFonts w:cs="Courier;Courier New" w:ascii="Courier;Courier New" w:hAnsi="Courier;Courier New"/>
          <w:i/>
        </w:rPr>
        <w:t>Garmon</w:t>
      </w:r>
      <w:r>
        <w:rPr>
          <w:rFonts w:cs="Courier;Courier New" w:ascii="Courier;Courier New" w:hAnsi="Courier;Courier New"/>
        </w:rPr>
        <w:t>, the Supreme Court recognized that it is within the province of Oklahoma state courts to enjoin the type of violent and mass conduct in which the Defendants are now engaged.  The Court stated:</w:t>
      </w:r>
    </w:p>
    <w:p>
      <w:pPr>
        <w:pStyle w:val="Normal"/>
        <w:widowControl/>
        <w:ind w:start="1440" w:end="1440"/>
        <w:jc w:val="both"/>
        <w:rPr>
          <w:rFonts w:ascii="Courier;Courier New" w:hAnsi="Courier;Courier New" w:cs="Courier;Courier New"/>
        </w:rPr>
      </w:pPr>
      <w:r>
        <w:rPr>
          <w:rFonts w:cs="Courier;Courier New" w:ascii="Courier;Courier New" w:hAnsi="Courier;Courier New"/>
        </w:rPr>
        <w:t xml:space="preserve">It is true that we have allowed the states to grant compensation for the consequences, as defined by the traditional law of torts, of conduct marked by violence and imminent threats to the public order.  </w:t>
      </w:r>
      <w:r>
        <w:rPr>
          <w:rFonts w:cs="Courier;Courier New" w:ascii="Courier;Courier New" w:hAnsi="Courier;Courier New"/>
          <w:i/>
        </w:rPr>
        <w:t>United Auto. Workers v. Russell</w:t>
      </w:r>
      <w:r>
        <w:rPr>
          <w:rFonts w:cs="Courier;Courier New" w:ascii="Courier;Courier New" w:hAnsi="Courier;Courier New"/>
        </w:rPr>
        <w:t xml:space="preserve">, 356 U.S. 634, 2 L.Ed.2d 1030, 78 S.Ct. 932; </w:t>
      </w:r>
      <w:r>
        <w:rPr>
          <w:rFonts w:cs="Courier;Courier New" w:ascii="Courier;Courier New" w:hAnsi="Courier;Courier New"/>
          <w:i/>
        </w:rPr>
        <w:t>United Constr. Workers v. Laburnum Constr. Corp.</w:t>
      </w:r>
      <w:r>
        <w:rPr>
          <w:rFonts w:cs="Courier;Courier New" w:ascii="Courier;Courier New" w:hAnsi="Courier;Courier New"/>
        </w:rPr>
        <w:t xml:space="preserve">, 347 U.S. 656, 98 L.Ed. 1025, 74 S.Ct. 833.  We have also allowed the States to enjoin such conduct.  </w:t>
      </w:r>
      <w:r>
        <w:rPr>
          <w:rFonts w:cs="Courier;Courier New" w:ascii="Courier;Courier New" w:hAnsi="Courier;Courier New"/>
          <w:i/>
        </w:rPr>
        <w:t>Youngdahl v. Rainfair, Inc.</w:t>
      </w:r>
      <w:r>
        <w:rPr>
          <w:rFonts w:cs="Courier;Courier New" w:ascii="Courier;Courier New" w:hAnsi="Courier;Courier New"/>
        </w:rPr>
        <w:t xml:space="preserve">, 355 U.S. 131, 2 L.Ed.2d 151, 78 S.Ct. 206; </w:t>
      </w:r>
      <w:r>
        <w:rPr>
          <w:rFonts w:cs="Courier;Courier New" w:ascii="Courier;Courier New" w:hAnsi="Courier;Courier New"/>
          <w:i/>
        </w:rPr>
        <w:t>United Auto, A.&amp; R.A.I.W. v. Wisconsin Employment Relations Bd.</w:t>
      </w:r>
      <w:r>
        <w:rPr>
          <w:rFonts w:cs="Courier;Courier New" w:ascii="Courier;Courier New" w:hAnsi="Courier;Courier New"/>
        </w:rPr>
        <w:t xml:space="preserve">, 351 U.S. 266, 100 L.Ed. 1162, 76 S.Ct. 794.  State jurisdiction has prevailed in these situations because the compelling state interest, in the scheme of our federalism, in the maintenance of domestic peace is not overridden in the absence of clearly expressed congressional direction.  We recognize that the opinion in </w:t>
      </w:r>
      <w:r>
        <w:rPr>
          <w:rFonts w:cs="Courier;Courier New" w:ascii="Courier;Courier New" w:hAnsi="Courier;Courier New"/>
          <w:i/>
        </w:rPr>
        <w:t>United Constr. Workers v. Laburnum Constr. Corp.</w:t>
      </w:r>
      <w:r>
        <w:rPr>
          <w:rFonts w:cs="Courier;Courier New" w:ascii="Courier;Courier New" w:hAnsi="Courier;Courier New"/>
        </w:rPr>
        <w:t xml:space="preserve">, 347 U.S. 656, 98 L.Ed. 1025, 74 S.Ct. 833, found support in the fact that the state remedy had no federal counterpart.  But that decision was determined, as is demonstrated by the question to which review was restricted, by the "type of conduct" involved, </w:t>
      </w:r>
      <w:r>
        <w:rPr>
          <w:rFonts w:cs="Courier;Courier New" w:ascii="Courier;Courier New" w:hAnsi="Courier;Courier New"/>
          <w:i/>
        </w:rPr>
        <w:t>i.e.</w:t>
      </w:r>
      <w:r>
        <w:rPr>
          <w:rFonts w:cs="Courier;Courier New" w:ascii="Courier;Courier New" w:hAnsi="Courier;Courier New"/>
        </w:rPr>
        <w:t>, "intimidation and threats of violence.</w:t>
      </w:r>
      <w:r>
        <w:rPr>
          <w:rFonts w:cs="WP TypographicSymbols" w:ascii="WP TypographicSymbols" w:hAnsi="WP TypographicSymbols"/>
        </w:rPr>
        <w:t>@</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pPr>
      <w:r>
        <w:rPr>
          <w:rFonts w:cs="Courier;Courier New" w:ascii="Courier;Courier New" w:hAnsi="Courier;Courier New"/>
          <w:i/>
        </w:rPr>
        <w:t>San Diego Bldg. Trades Council v. Garmon</w:t>
      </w:r>
      <w:r>
        <w:rPr>
          <w:rFonts w:cs="Courier;Courier New" w:ascii="Courier;Courier New" w:hAnsi="Courier;Courier New"/>
        </w:rPr>
        <w:t>, 359 U.S. 236, 247-48 (1959).</w:t>
      </w:r>
    </w:p>
    <w:p>
      <w:pPr>
        <w:pStyle w:val="Normal"/>
        <w:widowControl/>
        <w:jc w:val="both"/>
        <w:rPr>
          <w:rFonts w:ascii="Courier;Courier New" w:hAnsi="Courier;Courier New" w:cs="Courier;Courier New"/>
        </w:rPr>
      </w:pPr>
      <w:r>
        <w:rPr>
          <w:rFonts w:cs="Courier;Courier New" w:ascii="Courier;Courier New" w:hAnsi="Courier;Courier New"/>
        </w:rPr>
      </w:r>
    </w:p>
    <w:p>
      <w:pPr>
        <w:sectPr>
          <w:type w:val="continuous"/>
          <w:pgSz w:w="12240" w:h="15840"/>
          <w:pgMar w:left="1440" w:right="1440" w:gutter="0" w:header="0" w:top="1440" w:footer="0" w:bottom="720"/>
          <w:formProt w:val="false"/>
          <w:textDirection w:val="lrTb"/>
          <w:docGrid w:type="default" w:linePitch="360" w:charSpace="0"/>
        </w:sectPr>
      </w:pPr>
    </w:p>
    <w:p>
      <w:pPr>
        <w:pStyle w:val="Normal"/>
        <w:widowControl/>
        <w:spacing w:lineRule="auto" w:line="480"/>
        <w:ind w:firstLine="720" w:end="0"/>
        <w:jc w:val="both"/>
        <w:rPr/>
      </w:pPr>
      <w:r>
        <w:rPr>
          <w:rFonts w:cs="Courier;Courier New" w:ascii="Courier;Courier New" w:hAnsi="Courier;Courier New"/>
        </w:rPr>
        <w:t xml:space="preserve">The Supreme Court has reaffirmed the state's right to regulate and enjoin picketing in subsequent decisions.  In </w:t>
      </w:r>
      <w:r>
        <w:rPr>
          <w:rFonts w:cs="Courier;Courier New" w:ascii="Courier;Courier New" w:hAnsi="Courier;Courier New"/>
          <w:i/>
        </w:rPr>
        <w:t>Sears, Roebuck &amp; Co. v. San Diego County Dist. Council of Carpenters</w:t>
      </w:r>
      <w:r>
        <w:rPr>
          <w:rFonts w:cs="Courier;Courier New" w:ascii="Courier;Courier New" w:hAnsi="Courier;Courier New"/>
        </w:rPr>
        <w:t xml:space="preserve">, 436 U.S. 180 (1978), for example, the Supreme Court extended the application of </w:t>
      </w:r>
      <w:r>
        <w:rPr>
          <w:rFonts w:cs="Courier;Courier New" w:ascii="Courier;Courier New" w:hAnsi="Courier;Courier New"/>
          <w:i/>
        </w:rPr>
        <w:t>Garmon</w:t>
      </w:r>
      <w:r>
        <w:rPr>
          <w:rFonts w:cs="Courier;Courier New" w:ascii="Courier;Courier New" w:hAnsi="Courier;Courier New"/>
        </w:rPr>
        <w:t xml:space="preserve"> to allow states to enjoin even peaceful picketing which violates local law.  The Court stated that, in determining whether the state court jurisdiction to enjoin picketing is preempted when the picketing is arguably prohibited by the NLRA:</w:t>
      </w:r>
    </w:p>
    <w:p>
      <w:pPr>
        <w:pStyle w:val="Normal"/>
        <w:widowControl/>
        <w:ind w:start="1440" w:end="1440"/>
        <w:jc w:val="both"/>
        <w:rPr/>
      </w:pPr>
      <w:r>
        <w:rPr>
          <w:rFonts w:cs="Courier;Courier New" w:ascii="Courier;Courier New" w:hAnsi="Courier;Courier New"/>
        </w:rPr>
        <w:t xml:space="preserve">[T]he critical inquiry . . . is not whether the state is enforcing a law relating specifically to labor relations or one of general application but whether the controversy presented to the state court is identical to or different from that which could have been presented to the Labor Board.  For it is only in the former situation that a state court's exercise of jurisdiction necessarily involves a risk of interference with the unfair labor practice jurisdiction of the Board which the arguably prohibited branch of the </w:t>
      </w:r>
      <w:r>
        <w:rPr>
          <w:rFonts w:cs="Courier;Courier New" w:ascii="Courier;Courier New" w:hAnsi="Courier;Courier New"/>
          <w:i/>
        </w:rPr>
        <w:t>Garmon</w:t>
      </w:r>
      <w:r>
        <w:rPr>
          <w:rFonts w:cs="Courier;Courier New" w:ascii="Courier;Courier New" w:hAnsi="Courier;Courier New"/>
        </w:rPr>
        <w:t xml:space="preserve"> doctrine was designed to avoid.</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pPr>
      <w:r>
        <w:rPr>
          <w:rFonts w:cs="Courier;Courier New" w:ascii="Courier;Courier New" w:hAnsi="Courier;Courier New"/>
          <w:i/>
        </w:rPr>
        <w:t>Id.</w:t>
      </w:r>
      <w:r>
        <w:rPr>
          <w:rFonts w:cs="Courier;Courier New" w:ascii="Courier;Courier New" w:hAnsi="Courier;Courier New"/>
        </w:rPr>
        <w:t xml:space="preserve"> at 197.</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spacing w:lineRule="auto" w:line="480"/>
        <w:ind w:firstLine="720" w:end="0"/>
        <w:jc w:val="both"/>
        <w:rPr/>
      </w:pPr>
      <w:r>
        <w:rPr>
          <w:rFonts w:cs="Courier;Courier New" w:ascii="Courier;Courier New" w:hAnsi="Courier;Courier New"/>
        </w:rPr>
        <w:t xml:space="preserve">The Court held that a state court could enjoin picketing on an employer's property which allegedly violated state trespass laws, even though it was arguable that the picketing was proscribed by the NLRA, since the controversy before the state court involved only the </w:t>
      </w:r>
      <w:r>
        <w:rPr>
          <w:rFonts w:cs="Courier;Courier New" w:ascii="Courier;Courier New" w:hAnsi="Courier;Courier New"/>
          <w:i/>
        </w:rPr>
        <w:t>location</w:t>
      </w:r>
      <w:r>
        <w:rPr>
          <w:rFonts w:cs="Courier;Courier New" w:ascii="Courier;Courier New" w:hAnsi="Courier;Courier New"/>
        </w:rPr>
        <w:t xml:space="preserve"> of the picketing; "whether the picketing had an </w:t>
      </w:r>
      <w:r>
        <w:rPr>
          <w:rFonts w:cs="Courier;Courier New" w:ascii="Courier;Courier New" w:hAnsi="Courier;Courier New"/>
          <w:i/>
        </w:rPr>
        <w:t>objective</w:t>
      </w:r>
      <w:r>
        <w:rPr>
          <w:rFonts w:cs="Courier;Courier New" w:ascii="Courier;Courier New" w:hAnsi="Courier;Courier New"/>
        </w:rPr>
        <w:t xml:space="preserve"> proscribed by the federal law was irrelevant to the state claim."  </w:t>
      </w:r>
      <w:r>
        <w:rPr>
          <w:rFonts w:cs="Courier;Courier New" w:ascii="Courier;Courier New" w:hAnsi="Courier;Courier New"/>
          <w:i/>
        </w:rPr>
        <w:t>Id.</w:t>
      </w:r>
      <w:r>
        <w:rPr>
          <w:rFonts w:cs="Courier;Courier New" w:ascii="Courier;Courier New" w:hAnsi="Courier;Courier New"/>
        </w:rPr>
        <w:t xml:space="preserve"> at 198 (emphasis added); </w:t>
      </w:r>
      <w:r>
        <w:rPr>
          <w:rFonts w:cs="Courier;Courier New" w:ascii="Courier;Courier New" w:hAnsi="Courier;Courier New"/>
          <w:i/>
        </w:rPr>
        <w:t>accord Belknap, Inc. v. Hale</w:t>
      </w:r>
      <w:r>
        <w:rPr>
          <w:rFonts w:cs="Courier;Courier New" w:ascii="Courier;Courier New" w:hAnsi="Courier;Courier New"/>
        </w:rPr>
        <w:t xml:space="preserve">, 463 U.S. 491 (1983) (policing of conduct which consists of actual or threatened violence to person or property is left to the states, even though such conduct arises out of a labor dispute); </w:t>
      </w:r>
      <w:r>
        <w:rPr>
          <w:rFonts w:cs="Courier;Courier New" w:ascii="Courier;Courier New" w:hAnsi="Courier;Courier New"/>
          <w:i/>
        </w:rPr>
        <w:t>United Farm Workers v. Superior Court of Monterey County</w:t>
      </w:r>
      <w:r>
        <w:rPr>
          <w:rFonts w:cs="Courier;Courier New" w:ascii="Courier;Courier New" w:hAnsi="Courier;Courier New"/>
        </w:rPr>
        <w:t>, 16 Cal. 3d 499, 505-06, 546 P.2d 713 (1976).</w:t>
      </w:r>
    </w:p>
    <w:p>
      <w:pPr>
        <w:sectPr>
          <w:type w:val="continuous"/>
          <w:pgSz w:w="12240" w:h="15840"/>
          <w:pgMar w:left="1440" w:right="1440" w:gutter="0" w:header="0" w:top="1440" w:footer="0" w:bottom="720"/>
          <w:formProt w:val="false"/>
          <w:textDirection w:val="lrTb"/>
          <w:docGrid w:type="default" w:linePitch="360" w:charSpace="0"/>
        </w:sectPr>
      </w:pP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In the present case, the narrow relief which the Plaintiffs seeks regards the "type" and "location" of the defendant's conduct.  The "objective" of the defendant's conduct is not involved.  Therefore, the NLRA does not divest the court of jurisdiction.</w:t>
      </w:r>
    </w:p>
    <w:p>
      <w:pPr>
        <w:pStyle w:val="Normal"/>
        <w:widowControl/>
        <w:tabs>
          <w:tab w:val="clear" w:pos="720"/>
          <w:tab w:val="left" w:pos="-1440" w:leader="none"/>
        </w:tabs>
        <w:ind w:hanging="720" w:start="2160" w:end="2160"/>
        <w:jc w:val="both"/>
        <w:rPr>
          <w:rFonts w:ascii="Courier;Courier New" w:hAnsi="Courier;Courier New" w:cs="Courier;Courier New"/>
          <w:b/>
        </w:rPr>
      </w:pPr>
      <w:r>
        <w:rPr>
          <w:rFonts w:cs="Courier;Courier New" w:ascii="Courier;Courier New" w:hAnsi="Courier;Courier New"/>
          <w:b/>
        </w:rPr>
        <w:t>A.</w:t>
        <w:tab/>
        <w:t>Oklahoma Law Prohibits The Conduct</w:t>
      </w:r>
    </w:p>
    <w:p>
      <w:pPr>
        <w:pStyle w:val="Normal"/>
        <w:widowControl/>
        <w:ind w:start="2160" w:end="0"/>
        <w:jc w:val="both"/>
        <w:rPr>
          <w:rFonts w:ascii="Courier;Courier New" w:hAnsi="Courier;Courier New" w:cs="Courier;Courier New"/>
        </w:rPr>
      </w:pPr>
      <w:r>
        <w:rPr>
          <w:rFonts w:cs="Courier;Courier New" w:ascii="Courier;Courier New" w:hAnsi="Courier;Courier New"/>
          <w:b/>
        </w:rPr>
        <w:t>In Which The Defendants Are Now Engaged</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The legislature of Oklahoma has declared that:</w:t>
      </w:r>
    </w:p>
    <w:p>
      <w:pPr>
        <w:pStyle w:val="Normal"/>
        <w:widowControl/>
        <w:ind w:start="1440" w:end="1440"/>
        <w:jc w:val="both"/>
        <w:rPr>
          <w:rFonts w:ascii="Courier;Courier New" w:hAnsi="Courier;Courier New" w:cs="Courier;Courier New"/>
        </w:rPr>
      </w:pPr>
      <w:r>
        <w:rPr>
          <w:rFonts w:cs="Courier;Courier New" w:ascii="Courier;Courier New" w:hAnsi="Courier;Courier New"/>
        </w:rPr>
        <w:t>Every person, who, by use of force, threats or intimidation prevents or endeavors to prevent any hired foreman, journeyman, apprentice, worker, laborer, servant, or other person employed by another, from continuing or performing his work, or from accepting any new work or employment, or induces such hired person to relinquish his [or her] work or employment, or to return any work he [or she] has in hand, before it is finished, is guilty of a misdemeanor.</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spacing w:lineRule="auto" w:line="480"/>
        <w:jc w:val="both"/>
        <w:rPr/>
      </w:pPr>
      <w:r>
        <w:rPr>
          <w:rFonts w:cs="Courier;Courier New" w:ascii="Courier;Courier New" w:hAnsi="Courier;Courier New"/>
          <w:i/>
        </w:rPr>
        <w:t>See</w:t>
      </w:r>
      <w:r>
        <w:rPr>
          <w:rFonts w:cs="Courier;Courier New" w:ascii="Courier;Courier New" w:hAnsi="Courier;Courier New"/>
        </w:rPr>
        <w:t xml:space="preserve"> Okla. Stat. Tit. 21 </w:t>
      </w:r>
      <w:r>
        <w:rPr>
          <w:rFonts w:cs="WP TypographicSymbols" w:ascii="WP TypographicSymbols" w:hAnsi="WP TypographicSymbols"/>
        </w:rPr>
        <w:t>'</w:t>
      </w:r>
      <w:r>
        <w:rPr>
          <w:rFonts w:cs="Courier;Courier New" w:ascii="Courier;Courier New" w:hAnsi="Courier;Courier New"/>
        </w:rPr>
        <w:t xml:space="preserve"> 837.  </w:t>
      </w:r>
    </w:p>
    <w:p>
      <w:pPr>
        <w:pStyle w:val="Normal"/>
        <w:widowControl/>
        <w:spacing w:lineRule="auto" w:line="480"/>
        <w:ind w:firstLine="720" w:end="0"/>
        <w:jc w:val="both"/>
        <w:rPr/>
      </w:pPr>
      <w:r>
        <w:rPr>
          <w:rFonts w:cs="Courier;Courier New" w:ascii="Courier;Courier New" w:hAnsi="Courier;Courier New"/>
        </w:rPr>
        <w:t xml:space="preserve">Other Oklahoma statutes prohibit unlawful assembly, rioting, routing, and criminal trespass.  </w:t>
      </w:r>
      <w:r>
        <w:rPr>
          <w:rFonts w:cs="Courier;Courier New" w:ascii="Courier;Courier New" w:hAnsi="Courier;Courier New"/>
          <w:i/>
        </w:rPr>
        <w:t>See</w:t>
      </w:r>
      <w:r>
        <w:rPr>
          <w:rFonts w:cs="Courier;Courier New" w:ascii="Courier;Courier New" w:hAnsi="Courier;Courier New"/>
        </w:rPr>
        <w:t xml:space="preserve"> Okla. Stat. Tit. 21 </w:t>
      </w:r>
      <w:r>
        <w:rPr>
          <w:rFonts w:cs="WP TypographicSymbols" w:ascii="WP TypographicSymbols" w:hAnsi="WP TypographicSymbols"/>
        </w:rPr>
        <w:t>'</w:t>
      </w:r>
      <w:r>
        <w:rPr>
          <w:rFonts w:cs="Courier;Courier New" w:ascii="Courier;Courier New" w:hAnsi="Courier;Courier New"/>
        </w:rPr>
        <w:t xml:space="preserve"> 1314 (unlawful assembly); Okla. Stat. Tit. 21 </w:t>
      </w:r>
      <w:r>
        <w:rPr>
          <w:rFonts w:cs="WP TypographicSymbols" w:ascii="WP TypographicSymbols" w:hAnsi="WP TypographicSymbols"/>
        </w:rPr>
        <w:t>'</w:t>
      </w:r>
      <w:r>
        <w:rPr>
          <w:rFonts w:cs="Courier;Courier New" w:ascii="Courier;Courier New" w:hAnsi="Courier;Courier New"/>
        </w:rPr>
        <w:t xml:space="preserve"> 1311 (riot); Okla. Stat. Tit. 21 </w:t>
      </w:r>
      <w:r>
        <w:rPr>
          <w:rFonts w:cs="WP TypographicSymbols" w:ascii="WP TypographicSymbols" w:hAnsi="WP TypographicSymbols"/>
        </w:rPr>
        <w:t>'</w:t>
      </w:r>
      <w:r>
        <w:rPr>
          <w:rFonts w:cs="Courier;Courier New" w:ascii="Courier;Courier New" w:hAnsi="Courier;Courier New"/>
        </w:rPr>
        <w:t xml:space="preserve"> 1313 (rout); Okla. Stat. Tit. 21 </w:t>
      </w:r>
      <w:r>
        <w:rPr>
          <w:rFonts w:cs="WP TypographicSymbols" w:ascii="WP TypographicSymbols" w:hAnsi="WP TypographicSymbols"/>
        </w:rPr>
        <w:t>'</w:t>
      </w:r>
      <w:r>
        <w:rPr>
          <w:rFonts w:cs="Courier;Courier New" w:ascii="Courier;Courier New" w:hAnsi="Courier;Courier New"/>
        </w:rPr>
        <w:t xml:space="preserve"> 1351 (criminal trespass).</w:t>
      </w:r>
    </w:p>
    <w:p>
      <w:pPr>
        <w:pStyle w:val="Normal"/>
        <w:widowControl/>
        <w:tabs>
          <w:tab w:val="clear" w:pos="720"/>
          <w:tab w:val="left" w:pos="-1440" w:leader="none"/>
        </w:tabs>
        <w:ind w:hanging="720" w:start="2160" w:end="1440"/>
        <w:jc w:val="both"/>
        <w:rPr/>
      </w:pPr>
      <w:r>
        <w:rPr>
          <w:rFonts w:cs="Courier;Courier New" w:ascii="Courier;Courier New" w:hAnsi="Courier;Courier New"/>
          <w:b/>
        </w:rPr>
        <w:t>B.</w:t>
        <w:tab/>
        <w:t>Oklahoma Courts May Enjoin Conduct Interfering With Another</w:t>
      </w:r>
      <w:r>
        <w:rPr>
          <w:rFonts w:cs="WP TypographicSymbols" w:ascii="WP TypographicSymbols" w:hAnsi="WP TypographicSymbols"/>
          <w:b/>
        </w:rPr>
        <w:t>=</w:t>
      </w:r>
      <w:r>
        <w:rPr>
          <w:rFonts w:cs="Courier;Courier New" w:ascii="Courier;Courier New" w:hAnsi="Courier;Courier New"/>
          <w:b/>
        </w:rPr>
        <w:t>s Right-to-Work or Business Activities.</w:t>
      </w:r>
    </w:p>
    <w:p>
      <w:pPr>
        <w:pStyle w:val="Normal"/>
        <w:widowControl/>
        <w:jc w:val="both"/>
        <w:rPr>
          <w:rFonts w:ascii="Courier;Courier New" w:hAnsi="Courier;Courier New" w:cs="Courier;Courier New"/>
          <w:b/>
        </w:rPr>
      </w:pPr>
      <w:r>
        <w:rPr>
          <w:rFonts w:cs="Courier;Courier New" w:ascii="Courier;Courier New" w:hAnsi="Courier;Courier New"/>
          <w:b/>
        </w:rPr>
      </w:r>
    </w:p>
    <w:p>
      <w:pPr>
        <w:pStyle w:val="Normal"/>
        <w:widowControl/>
        <w:spacing w:lineRule="auto" w:line="480"/>
        <w:ind w:firstLine="720" w:end="0"/>
        <w:jc w:val="both"/>
        <w:rPr/>
      </w:pPr>
      <w:r>
        <w:rPr>
          <w:rFonts w:cs="Courier;Courier New" w:ascii="Courier;Courier New" w:hAnsi="Courier;Courier New"/>
        </w:rPr>
        <w:t xml:space="preserve">Okla. Stat. Tit. 12 </w:t>
      </w:r>
      <w:r>
        <w:rPr>
          <w:rFonts w:cs="WP TypographicSymbols" w:ascii="WP TypographicSymbols" w:hAnsi="WP TypographicSymbols"/>
        </w:rPr>
        <w:t>'</w:t>
      </w:r>
      <w:r>
        <w:rPr>
          <w:rFonts w:cs="Courier;Courier New" w:ascii="Courier;Courier New" w:hAnsi="Courier;Courier New"/>
        </w:rPr>
        <w:t xml:space="preserve"> 1384.1 empowers the court to award injunctive relief in order to avoid irreparable injury to a party.</w:t>
      </w:r>
    </w:p>
    <w:p>
      <w:pPr>
        <w:pStyle w:val="Normal"/>
        <w:widowControl/>
        <w:spacing w:lineRule="auto" w:line="480"/>
        <w:jc w:val="center"/>
        <w:rPr>
          <w:rFonts w:ascii="Courier;Courier New" w:hAnsi="Courier;Courier New" w:cs="Courier;Courier New"/>
          <w:b/>
        </w:rPr>
      </w:pPr>
      <w:r>
        <w:rPr>
          <w:rFonts w:cs="Courier;Courier New" w:ascii="Courier;Courier New" w:hAnsi="Courier;Courier New"/>
          <w:b/>
        </w:rPr>
        <w:t>II.  Conclusion</w:t>
      </w:r>
    </w:p>
    <w:p>
      <w:pPr>
        <w:sectPr>
          <w:type w:val="continuous"/>
          <w:pgSz w:w="12240" w:h="15840"/>
          <w:pgMar w:left="1440" w:right="1440" w:gutter="0" w:header="0" w:top="1440" w:footer="0" w:bottom="720"/>
          <w:formProt w:val="false"/>
          <w:textDirection w:val="lrTb"/>
          <w:docGrid w:type="default" w:linePitch="360" w:charSpace="0"/>
        </w:sectPr>
      </w:pP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The state courts of Oklahoma have jurisdiction in cases involving coercive picketing.  The allegations in the present case demonstrate clearly that substantial and irreparable injury to the Plaintiff will be unavoidable unless a temporary restraining order is issued to stop the unlawful picketing.</w:t>
      </w:r>
    </w:p>
    <w:p>
      <w:pPr>
        <w:pStyle w:val="Normal"/>
        <w:widowControl/>
        <w:ind w:firstLine="720" w:end="0"/>
        <w:jc w:val="both"/>
        <w:rPr>
          <w:rFonts w:ascii="Courier;Courier New" w:hAnsi="Courier;Courier New" w:cs="Courier;Courier New"/>
        </w:rPr>
      </w:pPr>
      <w:r>
        <w:rPr>
          <w:rFonts w:cs="Courier;Courier New" w:ascii="Courier;Courier New" w:hAnsi="Courier;Courier New"/>
        </w:rPr>
        <w:t>Dated this _____ day of _______________, 2000.</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ind w:firstLine="4320" w:end="0"/>
        <w:jc w:val="both"/>
        <w:rPr>
          <w:rFonts w:ascii="Courier;Courier New" w:hAnsi="Courier;Courier New" w:cs="Courier;Courier New"/>
        </w:rPr>
      </w:pPr>
      <w:r>
        <w:rPr>
          <w:rFonts w:cs="Courier;Courier New" w:ascii="Courier;Courier New" w:hAnsi="Courier;Courier New"/>
        </w:rPr>
        <w:t>Respectfully submitted,</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ind w:firstLine="720" w:end="0"/>
        <w:jc w:val="both"/>
        <w:rPr>
          <w:rFonts w:ascii="Courier;Courier New" w:hAnsi="Courier;Courier New" w:cs="Courier;Courier New"/>
        </w:rPr>
      </w:pPr>
      <w:r>
        <w:rPr>
          <w:rFonts w:cs="Courier;Courier New" w:ascii="Courier;Courier New" w:hAnsi="Courier;Courier New"/>
        </w:rPr>
      </w:r>
    </w:p>
    <w:p>
      <w:pPr>
        <w:pStyle w:val="Normal"/>
        <w:widowControl/>
        <w:ind w:firstLine="3600" w:end="0"/>
        <w:jc w:val="both"/>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ab/>
      </w:r>
      <w:r>
        <w:rPr>
          <w:rFonts w:cs="Courier;Courier New" w:ascii="Courier;Courier New" w:hAnsi="Courier;Courier New"/>
          <w:u w:val="single"/>
        </w:rPr>
        <w:tab/>
        <w:tab/>
        <w:tab/>
        <w:tab/>
        <w:tab/>
        <w:tab/>
      </w:r>
    </w:p>
    <w:p>
      <w:pPr>
        <w:pStyle w:val="Normal"/>
        <w:widowControl/>
        <w:ind w:start="4320" w:end="0"/>
        <w:jc w:val="both"/>
        <w:rPr>
          <w:rFonts w:ascii="Courier;Courier New" w:hAnsi="Courier;Courier New" w:cs="Courier;Courier New"/>
        </w:rPr>
      </w:pPr>
      <w:r>
        <w:rPr>
          <w:rFonts w:cs="Courier;Courier New" w:ascii="Courier;Courier New" w:hAnsi="Courier;Courier New"/>
        </w:rPr>
        <w:t>Allen E. Barrow, Jr., OBA 563</w:t>
      </w:r>
    </w:p>
    <w:p>
      <w:pPr>
        <w:pStyle w:val="Normal"/>
        <w:widowControl/>
        <w:ind w:firstLine="4320" w:end="0"/>
        <w:jc w:val="both"/>
        <w:rPr>
          <w:rFonts w:ascii="Courier;Courier New" w:hAnsi="Courier;Courier New" w:cs="Courier;Courier New"/>
        </w:rPr>
      </w:pPr>
      <w:r>
        <w:rPr>
          <w:rFonts w:cs="Courier;Courier New" w:ascii="Courier;Courier New" w:hAnsi="Courier;Courier New"/>
        </w:rPr>
        <w:t>Wm. Brad Heckenkemper, OBA 4041</w:t>
      </w:r>
    </w:p>
    <w:p>
      <w:pPr>
        <w:pStyle w:val="Normal"/>
        <w:widowControl/>
        <w:ind w:firstLine="4320" w:end="0"/>
        <w:jc w:val="both"/>
        <w:rPr>
          <w:rFonts w:ascii="Courier;Courier New" w:hAnsi="Courier;Courier New" w:cs="Courier;Courier New"/>
        </w:rPr>
      </w:pPr>
      <w:r>
        <w:rPr>
          <w:rFonts w:cs="Courier;Courier New" w:ascii="Courier;Courier New" w:hAnsi="Courier;Courier New"/>
        </w:rPr>
        <w:t>BARROW GADDIS GRIFFITH &amp; GRIMM</w:t>
      </w:r>
    </w:p>
    <w:p>
      <w:pPr>
        <w:pStyle w:val="Normal"/>
        <w:widowControl/>
        <w:ind w:firstLine="4320" w:end="0"/>
        <w:jc w:val="both"/>
        <w:rPr>
          <w:rFonts w:ascii="Courier;Courier New" w:hAnsi="Courier;Courier New" w:cs="Courier;Courier New"/>
        </w:rPr>
      </w:pPr>
      <w:r>
        <w:rPr>
          <w:rFonts w:cs="Courier;Courier New" w:ascii="Courier;Courier New" w:hAnsi="Courier;Courier New"/>
        </w:rPr>
        <w:t>610 South Main, Suite 300</w:t>
      </w:r>
    </w:p>
    <w:p>
      <w:pPr>
        <w:pStyle w:val="Normal"/>
        <w:widowControl/>
        <w:ind w:firstLine="4320" w:end="0"/>
        <w:jc w:val="both"/>
        <w:rPr>
          <w:rFonts w:ascii="Courier;Courier New" w:hAnsi="Courier;Courier New" w:cs="Courier;Courier New"/>
        </w:rPr>
      </w:pPr>
      <w:r>
        <w:rPr>
          <w:rFonts w:cs="Courier;Courier New" w:ascii="Courier;Courier New" w:hAnsi="Courier;Courier New"/>
        </w:rPr>
        <w:t>Tulsa, Oklahoma 74119-1248</w:t>
      </w:r>
    </w:p>
    <w:p>
      <w:pPr>
        <w:pStyle w:val="Normal"/>
        <w:widowControl/>
        <w:ind w:firstLine="4320" w:end="0"/>
        <w:jc w:val="both"/>
        <w:rPr>
          <w:rFonts w:ascii="Courier;Courier New" w:hAnsi="Courier;Courier New" w:cs="Courier;Courier New"/>
        </w:rPr>
      </w:pPr>
      <w:r>
        <w:rPr>
          <w:rFonts w:cs="Courier;Courier New" w:ascii="Courier;Courier New" w:hAnsi="Courier;Courier New"/>
        </w:rPr>
        <w:t>Phone: (918) 584-1600</w:t>
      </w:r>
    </w:p>
    <w:p>
      <w:pPr>
        <w:pStyle w:val="Normal"/>
        <w:widowControl/>
        <w:ind w:firstLine="4320" w:end="0"/>
        <w:jc w:val="both"/>
        <w:rPr>
          <w:rFonts w:ascii="Courier;Courier New" w:hAnsi="Courier;Courier New" w:cs="Courier;Courier New"/>
        </w:rPr>
      </w:pPr>
      <w:r>
        <w:rPr>
          <w:rFonts w:cs="Courier;Courier New" w:ascii="Courier;Courier New" w:hAnsi="Courier;Courier New"/>
        </w:rPr>
        <w:t>Fax: (918) 585-2444</w:t>
      </w:r>
    </w:p>
    <w:p>
      <w:pPr>
        <w:pStyle w:val="Normal"/>
        <w:widowControl/>
        <w:ind w:firstLine="4320" w:end="0"/>
        <w:jc w:val="both"/>
        <w:rPr>
          <w:rFonts w:ascii="Courier;Courier New" w:hAnsi="Courier;Courier New" w:cs="Courier;Courier New"/>
        </w:rPr>
      </w:pPr>
      <w:r>
        <w:rPr>
          <w:rFonts w:cs="Courier;Courier New" w:ascii="Courier;Courier New" w:hAnsi="Courier;Courier New"/>
        </w:rPr>
        <w:t>Email:  brad@bggg.com</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Mark M. Stubley</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R. Mills Ariail, Jr.</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OGLETREE, DEAKINS, NASH,</w:t>
      </w:r>
    </w:p>
    <w:p>
      <w:pPr>
        <w:pStyle w:val="Normal"/>
        <w:keepNext w:val="true"/>
        <w:keepLines/>
        <w:widowControl/>
        <w:ind w:firstLine="4320" w:end="0"/>
        <w:jc w:val="both"/>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SMOAK &amp; STEWART, P.C.</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300 North Main Street</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P. O. Box 2757</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Greenville, South Carolina  29602</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Phone:  (864) 271-1300</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Fax: (864) 235-8806</w:t>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start="4320" w:end="0"/>
        <w:jc w:val="both"/>
        <w:rPr/>
      </w:pPr>
      <w:r>
        <w:rPr>
          <w:rFonts w:cs="Courier;Courier New" w:ascii="Courier;Courier New" w:hAnsi="Courier;Courier New"/>
        </w:rPr>
        <w:t>Attorneys for National Energy Production Corp.</w:t>
      </w:r>
      <w:r>
        <w:rPr/>
        <w:t xml:space="preserve"> </w:t>
      </w:r>
    </w:p>
    <w:p>
      <w:pPr>
        <w:pStyle w:val="Normal"/>
        <w:keepLines/>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b/>
          <w:sz w:val="14"/>
        </w:rPr>
      </w:pPr>
      <w:r>
        <w:rPr>
          <w:rFonts w:cs="Courier;Courier New" w:ascii="Courier;Courier New" w:hAnsi="Courier;Courier New"/>
          <w:b/>
          <w:sz w:val="14"/>
        </w:rPr>
        <w:fldChar w:fldCharType="begin"/>
      </w:r>
      <w:r>
        <w:rPr>
          <w:sz w:val="14"/>
          <w:b/>
          <w:rFonts w:cs="Courier;Courier New" w:ascii="Courier;Courier New" w:hAnsi="Courier;Courier New"/>
        </w:rPr>
        <w:instrText xml:space="preserve"> FILENAME \p </w:instrText>
      </w:r>
      <w:r>
        <w:rPr>
          <w:sz w:val="14"/>
          <w:b/>
          <w:rFonts w:cs="Courier;Courier New" w:ascii="Courier;Courier New" w:hAnsi="Courier;Courier New"/>
        </w:rPr>
        <w:fldChar w:fldCharType="separate"/>
      </w:r>
      <w:r>
        <w:rPr>
          <w:sz w:val="14"/>
          <w:b/>
          <w:rFonts w:cs="Courier;Courier New" w:ascii="Courier;Courier New" w:hAnsi="Courier;Courier New"/>
        </w:rPr>
        <w:t>/mnt/main-storage/datasets/enron-docs/doc/memolaw_word.doc</w:t>
      </w:r>
      <w:r>
        <w:rPr>
          <w:sz w:val="14"/>
          <w:b/>
          <w:rFonts w:cs="Courier;Courier New" w:ascii="Courier;Courier New" w:hAnsi="Courier;Courier New"/>
        </w:rPr>
        <w:fldChar w:fldCharType="end"/>
      </w:r>
    </w:p>
    <w:p>
      <w:pPr>
        <w:pStyle w:val="Normal"/>
        <w:widowControl/>
        <w:jc w:val="both"/>
        <w:rPr/>
      </w:pPr>
      <w:r>
        <w:rPr>
          <w:rFonts w:cs="Courier;Courier New" w:ascii="Courier;Courier New" w:hAnsi="Courier;Courier New"/>
          <w:b/>
          <w:sz w:val="14"/>
        </w:rPr>
        <w:t xml:space="preserve">brg </w:t>
      </w:r>
      <w:r>
        <w:rPr>
          <w:rFonts w:cs="Courier;Courier New" w:ascii="Courier;Courier New" w:hAnsi="Courier;Courier New"/>
          <w:b/>
          <w:sz w:val="14"/>
        </w:rPr>
        <w:fldChar w:fldCharType="begin"/>
      </w:r>
      <w:r>
        <w:rPr>
          <w:sz w:val="14"/>
          <w:b/>
          <w:rFonts w:cs="Courier;Courier New" w:ascii="Courier;Courier New" w:hAnsi="Courier;Courier New"/>
        </w:rPr>
        <w:instrText xml:space="preserve"> DATE \@"M\/d\/yy" </w:instrText>
      </w:r>
      <w:r>
        <w:rPr>
          <w:sz w:val="14"/>
          <w:b/>
          <w:rFonts w:cs="Courier;Courier New" w:ascii="Courier;Courier New" w:hAnsi="Courier;Courier New"/>
        </w:rPr>
        <w:fldChar w:fldCharType="separate"/>
      </w:r>
      <w:r>
        <w:rPr>
          <w:sz w:val="14"/>
          <w:b/>
          <w:rFonts w:cs="Courier;Courier New" w:ascii="Courier;Courier New" w:hAnsi="Courier;Courier New"/>
        </w:rPr>
        <w:t>9/28/25</w:t>
      </w:r>
      <w:r>
        <w:rPr>
          <w:sz w:val="14"/>
          <w:b/>
          <w:rFonts w:cs="Courier;Courier New" w:ascii="Courier;Courier New" w:hAnsi="Courier;Courier New"/>
        </w:rPr>
        <w:fldChar w:fldCharType="end"/>
      </w:r>
    </w:p>
    <w:sectPr>
      <w:type w:val="continuous"/>
      <w:pgSz w:w="12240" w:h="15840"/>
      <w:pgMar w:left="1440" w:right="1440" w:gutter="0" w:header="0" w:top="144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WP TypographicSymbols">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I">
    <w:name w:val="Quick I."/>
    <w:basedOn w:val="Normal"/>
    <w:qFormat/>
    <w:pPr>
      <w:ind w:hanging="720" w:start="2160" w:end="1440"/>
    </w:pPr>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2001-11-16T18:28:00Z</dcterms:created>
  <dc:creator>ODNSS</dc:creator>
  <dc:description/>
  <dc:language>en-CA</dc:language>
  <cp:lastModifiedBy>ODNSS</cp:lastModifiedBy>
  <dcterms:modified xsi:type="dcterms:W3CDTF">2001-11-16T18:28:00Z</dcterms:modified>
  <cp:revision>2</cp:revision>
  <dc:subject/>
  <dc:title>6099-000</dc:title>
</cp:coreProperties>
</file>