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 xml:space="preserve">Rob Milnthorp, Derek Davies, John Zufferli, </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Aleck Dadson, Peter Keohane</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Rob Hemstock</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Update – Proposed Power Pool Rule Changes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November 25, 2000</w:t>
            </w:r>
          </w:p>
        </w:tc>
      </w:tr>
    </w:tbl>
    <w:p>
      <w:pPr>
        <w:pStyle w:val="Body"/>
        <w:ind w:start="90" w:end="0"/>
        <w:jc w:val="both"/>
        <w:rPr>
          <w:sz w:val="22"/>
        </w:rPr>
      </w:pPr>
      <w:r>
        <w:rPr>
          <w:sz w:val="22"/>
        </w:rPr>
      </w:r>
      <w:bookmarkStart w:id="1" w:name="StartOfMemo"/>
      <w:bookmarkStart w:id="2" w:name="StartOfMemo"/>
      <w:bookmarkEnd w:id="2"/>
    </w:p>
    <w:p>
      <w:pPr>
        <w:pStyle w:val="Body"/>
        <w:ind w:start="90" w:end="0"/>
        <w:jc w:val="both"/>
        <w:rPr>
          <w:sz w:val="22"/>
        </w:rPr>
      </w:pPr>
      <w:r>
        <w:rPr>
          <w:sz w:val="22"/>
        </w:rPr>
        <w:t>On Friday the second meeting was held of the of the committee assembled by the Power Pool to provide input and feedback on the three recently proposed rule changes: 1) importers not setting pool price, 2) dispatch risk, and 3) minimum block size.   It was clear that the Power Pool feels it must make a statement to bidders in the MAP Auction about the extent to which the Pool rules will be changed prior to the MAP Auction, which will take place on November 29.</w:t>
      </w:r>
    </w:p>
    <w:p>
      <w:pPr>
        <w:pStyle w:val="Body"/>
        <w:ind w:start="90" w:end="0"/>
        <w:jc w:val="both"/>
        <w:rPr>
          <w:sz w:val="22"/>
        </w:rPr>
      </w:pPr>
      <w:r>
        <w:rPr>
          <w:sz w:val="22"/>
        </w:rPr>
      </w:r>
    </w:p>
    <w:p>
      <w:pPr>
        <w:pStyle w:val="Body"/>
        <w:ind w:start="90" w:end="0"/>
        <w:jc w:val="both"/>
        <w:rPr>
          <w:sz w:val="22"/>
        </w:rPr>
      </w:pPr>
      <w:r>
        <w:rPr>
          <w:sz w:val="22"/>
        </w:rPr>
        <w:t>1) Importers Not Setting Pool Price</w:t>
      </w:r>
    </w:p>
    <w:p>
      <w:pPr>
        <w:pStyle w:val="Body"/>
        <w:ind w:start="90" w:end="0"/>
        <w:jc w:val="both"/>
        <w:rPr>
          <w:sz w:val="22"/>
        </w:rPr>
      </w:pPr>
      <w:r>
        <w:rPr>
          <w:sz w:val="22"/>
        </w:rPr>
      </w:r>
    </w:p>
    <w:p>
      <w:pPr>
        <w:pStyle w:val="Body"/>
        <w:ind w:start="90" w:end="0"/>
        <w:jc w:val="both"/>
        <w:rPr>
          <w:sz w:val="22"/>
        </w:rPr>
      </w:pPr>
      <w:r>
        <w:rPr>
          <w:sz w:val="22"/>
        </w:rPr>
        <w:t xml:space="preserve">Friday’s meeting was dominated again by a discussion of whether the proposed import rule was appropriate.  At the beginning of the meeting the Power Pool indicated that it intended to “delay” (likely indefinitely) the implementation of the proposed import rule.  I tried to get a commitment from the Pool that it was “off the table entirely” to no avail.  My sense was that the Power Pool was not willing to make such a commitment in order to appease those who thought the Power Pool should proceed with this rule change now. </w:t>
      </w:r>
    </w:p>
    <w:p>
      <w:pPr>
        <w:pStyle w:val="Body"/>
        <w:ind w:start="90" w:end="0"/>
        <w:jc w:val="both"/>
        <w:rPr>
          <w:sz w:val="22"/>
        </w:rPr>
      </w:pPr>
      <w:r>
        <w:rPr>
          <w:sz w:val="22"/>
        </w:rPr>
      </w:r>
    </w:p>
    <w:p>
      <w:pPr>
        <w:pStyle w:val="Body"/>
        <w:ind w:start="90" w:end="0"/>
        <w:jc w:val="both"/>
        <w:rPr>
          <w:sz w:val="22"/>
        </w:rPr>
      </w:pPr>
      <w:r>
        <w:rPr>
          <w:sz w:val="22"/>
        </w:rPr>
        <w:t xml:space="preserve">The balance of the meeting consisted of the Power Pool, with the support of Enron and other suppliers, defending the Power Pool’s decision as being appropriate.  Instead of implementing the proposed import rule the Power Pool indicated it intends to pursue an approach that is consistent with the Power Pool’s long term vision of how the market should develop.  The Power Pool handed out a 4 page document (I will provide a copy to you on Monday) that outlines its vision that the real time market will be one of many electricity markets in Alberta – focusing on physical delivery compared to forwards markets that establish and alter financial positions and delivery obligations.  In particular, the Pool outlined how it is committed to investigate the development of an intra-day market and/or rolling gate closures to expand the spectrum of risk management tools for participants as well as to support necessary changes to the framework of the real-time market.  It is clear to me that the Power Pool recognizes that it cannot isolate and segment imports out of the real time market solely because they represent high priced power.  It is also clear, however, that the Power Pool is determined to facilitate the development of other markets that are designed around firm physical delivery obligations and expect that importers will sell power into these market at firm forward prices.  They want to see the real time spot market be used as a true imbalance market that balances the delivery and consumption related to forward obligations/positions.  Rule changes to facilitate this will occur quickly with the current schedule for their development during Q1 2000 and implementation in early Q2. </w:t>
      </w:r>
    </w:p>
    <w:p>
      <w:pPr>
        <w:pStyle w:val="Body"/>
        <w:ind w:start="90" w:end="0"/>
        <w:jc w:val="both"/>
        <w:rPr>
          <w:sz w:val="22"/>
        </w:rPr>
      </w:pPr>
      <w:r>
        <w:rPr>
          <w:sz w:val="22"/>
        </w:rPr>
      </w:r>
    </w:p>
    <w:p>
      <w:pPr>
        <w:pStyle w:val="Body"/>
        <w:ind w:start="90" w:end="0"/>
        <w:jc w:val="both"/>
        <w:rPr>
          <w:sz w:val="22"/>
        </w:rPr>
      </w:pPr>
      <w:r>
        <w:rPr>
          <w:sz w:val="22"/>
        </w:rPr>
        <w:t>2) Dispatch Risk and Minimium Block Size</w:t>
      </w:r>
    </w:p>
    <w:p>
      <w:pPr>
        <w:pStyle w:val="Body"/>
        <w:ind w:start="90" w:end="0"/>
        <w:jc w:val="both"/>
        <w:rPr>
          <w:sz w:val="22"/>
        </w:rPr>
      </w:pPr>
      <w:r>
        <w:rPr>
          <w:sz w:val="22"/>
        </w:rPr>
      </w:r>
    </w:p>
    <w:p>
      <w:pPr>
        <w:pStyle w:val="Body"/>
        <w:ind w:start="90" w:end="0"/>
        <w:jc w:val="both"/>
        <w:rPr>
          <w:sz w:val="22"/>
        </w:rPr>
      </w:pPr>
      <w:r>
        <w:rPr>
          <w:sz w:val="22"/>
        </w:rPr>
        <w:t xml:space="preserve">The Power Pool advised that it is committed to recommending changes early next week to the Power Pool Council relating to dispatch risk.  They have not finalized the rule but intend to continue to work on this over the weekend and have a design completed by Monday November 27.  They will circulate the proposed rule to members of the Operations Committee (which includes Enron) for comment on Monday November 27 prior to seeking approval of the Power Pool Council on Tuesday.  </w:t>
      </w:r>
    </w:p>
    <w:p>
      <w:pPr>
        <w:pStyle w:val="Body"/>
        <w:ind w:start="90" w:end="0"/>
        <w:jc w:val="both"/>
        <w:rPr>
          <w:sz w:val="22"/>
        </w:rPr>
      </w:pPr>
      <w:r>
        <w:rPr>
          <w:sz w:val="22"/>
        </w:rPr>
      </w:r>
    </w:p>
    <w:p>
      <w:pPr>
        <w:pStyle w:val="Body"/>
        <w:ind w:start="90" w:end="0"/>
        <w:jc w:val="both"/>
        <w:rPr>
          <w:sz w:val="22"/>
        </w:rPr>
      </w:pPr>
      <w:r>
        <w:rPr>
          <w:sz w:val="22"/>
        </w:rPr>
        <w:t xml:space="preserve">Based on my private discussions with Dale McMaster I expect the rule will provide the System Controller with general discretion (influenced by system reliability/conditions) as to whether to allow offers that do not clear the merit order to be price takers.  The idea is to create some uncertainty among suppliers as to whether a restatement of a high priced block to price taker will or will not be allowed by the System Controller for any given hour.  With respect to enforcing actual dispatch, Dale McMaster felt that would likely be dealt with by generators that produce above dispatched levels not being paid for their energy.  To the extent certain parties may choose to place significant volumes in high priced blocks and not be able to ramp down the plant in the event the System Controller does not allow dispatch as a price taker they will do so at their risk.  To the extent a large block is priced at a “high” price with the expectation that is will not be dispatched that may be considered to be intentional witholding and be subject to review by the Market Surveillance Administrator.  </w:t>
      </w:r>
    </w:p>
    <w:p>
      <w:pPr>
        <w:pStyle w:val="Body"/>
        <w:ind w:start="90" w:end="0"/>
        <w:jc w:val="both"/>
        <w:rPr>
          <w:sz w:val="22"/>
        </w:rPr>
      </w:pPr>
      <w:r>
        <w:rPr>
          <w:sz w:val="22"/>
        </w:rPr>
      </w:r>
    </w:p>
    <w:p>
      <w:pPr>
        <w:pStyle w:val="Body"/>
        <w:ind w:start="90" w:end="0"/>
        <w:jc w:val="both"/>
        <w:rPr>
          <w:sz w:val="22"/>
        </w:rPr>
      </w:pPr>
      <w:r>
        <w:rPr>
          <w:sz w:val="22"/>
        </w:rPr>
        <w:t xml:space="preserve">Dale McMaster feels that the dispatch risk rule they will come out with will eliminate the need for a minimium block size rule.  </w:t>
      </w:r>
    </w:p>
    <w:p>
      <w:pPr>
        <w:pStyle w:val="Body"/>
        <w:ind w:start="90" w:end="0"/>
        <w:jc w:val="both"/>
        <w:rPr>
          <w:sz w:val="22"/>
        </w:rPr>
      </w:pPr>
      <w:r>
        <w:rPr>
          <w:sz w:val="22"/>
        </w:rPr>
      </w:r>
    </w:p>
    <w:p>
      <w:pPr>
        <w:pStyle w:val="Body"/>
        <w:ind w:start="90" w:end="0"/>
        <w:jc w:val="both"/>
        <w:rPr>
          <w:sz w:val="22"/>
        </w:rPr>
      </w:pPr>
      <w:r>
        <w:rPr>
          <w:sz w:val="22"/>
        </w:rPr>
        <w:t>My approach on the dispatch risk and minimum block size issues has been to express Enron’s preference that these rules not be changed either and I have provided the Power Pool, in confidence and without prejudice, the materials written by Frontier Economics.  Notwithstanding this I have expressed the willingness of Enron to work with the Pool on possible changes to these rules recognizing that the Pool is facing extreme pressure to make some rule changes now.  I will provide further details on the actual rule change once I receive them on Monday.</w:t>
      </w:r>
    </w:p>
    <w:p>
      <w:pPr>
        <w:pStyle w:val="Body"/>
        <w:ind w:start="90" w:end="0"/>
        <w:jc w:val="both"/>
        <w:rPr>
          <w:sz w:val="22"/>
        </w:rPr>
      </w:pPr>
      <w:r>
        <w:rPr>
          <w:sz w:val="22"/>
        </w:rPr>
      </w:r>
    </w:p>
    <w:p>
      <w:pPr>
        <w:pStyle w:val="Body"/>
        <w:ind w:start="90" w:end="0"/>
        <w:jc w:val="both"/>
        <w:rPr>
          <w:sz w:val="22"/>
        </w:rPr>
      </w:pPr>
      <w:r>
        <w:rPr>
          <w:sz w:val="22"/>
        </w:rPr>
        <w:t>Regards,</w:t>
      </w:r>
    </w:p>
    <w:p>
      <w:pPr>
        <w:pStyle w:val="Body"/>
        <w:ind w:start="90" w:end="0"/>
        <w:jc w:val="both"/>
        <w:rPr>
          <w:sz w:val="22"/>
        </w:rPr>
      </w:pPr>
      <w:r>
        <w:rPr>
          <w:sz w:val="22"/>
        </w:rPr>
      </w:r>
    </w:p>
    <w:p>
      <w:pPr>
        <w:pStyle w:val="Body"/>
        <w:ind w:start="90" w:end="0"/>
        <w:jc w:val="both"/>
        <w:rPr>
          <w:sz w:val="22"/>
        </w:rPr>
      </w:pPr>
      <w:r>
        <w:rPr>
          <w:sz w:val="22"/>
        </w:rPr>
        <w:t>Rob</w:t>
      </w:r>
    </w:p>
    <w:p>
      <w:pPr>
        <w:pStyle w:val="Body"/>
        <w:ind w:start="90" w:end="0"/>
        <w:jc w:val="both"/>
        <w:rPr>
          <w:sz w:val="22"/>
        </w:rPr>
      </w:pPr>
      <w:r>
        <w:rPr>
          <w:sz w:val="22"/>
        </w:rPr>
      </w:r>
    </w:p>
    <w:p>
      <w:pPr>
        <w:pStyle w:val="Body"/>
        <w:ind w:start="90" w:end="0"/>
        <w:jc w:val="both"/>
        <w:rPr>
          <w:sz w:val="22"/>
        </w:rPr>
      </w:pPr>
      <w:r>
        <w:rPr>
          <w:sz w:val="22"/>
        </w:rPr>
      </w:r>
    </w:p>
    <w:p>
      <w:pPr>
        <w:pStyle w:val="Body"/>
        <w:ind w:start="90" w:end="0"/>
        <w:jc w:val="both"/>
        <w:rPr>
          <w:sz w:val="22"/>
        </w:rPr>
      </w:pPr>
      <w:r>
        <w:rPr>
          <w:sz w:val="22"/>
        </w:rPr>
      </w:r>
    </w:p>
    <w:p>
      <w:pPr>
        <w:pStyle w:val="Body"/>
        <w:ind w:start="90" w:end="0"/>
        <w:jc w:val="both"/>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w:instrText>
    </w:r>
    <w:r>
      <w:rPr>
        <w:sz w:val="16"/>
        <w:rFonts w:cs="Arial Narrow" w:ascii="Arial Narrow" w:hAnsi="Arial Narrow"/>
        <w:lang w:eastAsia="en-US"/>
      </w:rPr>
      <w:fldChar w:fldCharType="separate"/>
    </w:r>
    <w:r>
      <w:rPr>
        <w:sz w:val="16"/>
        <w:rFonts w:cs="Arial Narrow" w:ascii="Arial Narrow" w:hAnsi="Arial Narrow"/>
        <w:lang w:eastAsia="en-US"/>
      </w:rPr>
      <w:t>memoec_1.doc</w:t>
    </w:r>
    <w:r>
      <w:rPr>
        <w:sz w:val="16"/>
        <w:rFonts w:cs="Arial Narrow" w:ascii="Arial Narrow" w:hAnsi="Arial Narrow"/>
        <w:lang w:eastAsia="en-US"/>
      </w:rPr>
      <w:fldChar w:fldCharType="end"/>
    </w:r>
    <w:r>
      <w:rPr>
        <w:rFonts w:cs="Arial Narrow" w:ascii="Arial Narrow" w:hAnsi="Arial Narrow"/>
        <w:sz w:val="16"/>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w:instrText>
    </w:r>
    <w:r>
      <w:rPr>
        <w:sz w:val="16"/>
        <w:rFonts w:cs="Arial Narrow" w:ascii="Arial Narrow" w:hAnsi="Arial Narrow"/>
        <w:lang w:eastAsia="en-US"/>
      </w:rPr>
      <w:fldChar w:fldCharType="separate"/>
    </w:r>
    <w:r>
      <w:rPr>
        <w:sz w:val="16"/>
        <w:rFonts w:cs="Arial Narrow" w:ascii="Arial Narrow" w:hAnsi="Arial Narrow"/>
        <w:lang w:eastAsia="en-US"/>
      </w:rPr>
      <w:t>memoec_1.doc</w:t>
    </w:r>
    <w:r>
      <w:rPr>
        <w:sz w:val="16"/>
        <w:rFonts w:cs="Arial Narrow" w:ascii="Arial Narrow" w:hAnsi="Arial Narrow"/>
        <w:lang w:eastAsia="en-US"/>
      </w:rPr>
      <w:fldChar w:fldCharType="end"/>
    </w:r>
    <w:r>
      <w:rPr>
        <w:rFonts w:cs="Arial Narrow" w:ascii="Arial Narrow" w:hAnsi="Arial Narrow"/>
        <w:sz w:val="16"/>
      </w:rPr>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2000-11-26T03:26:00Z</dcterms:created>
  <dc:creator>ncappel</dc:creator>
  <dc:description/>
  <dc:language>en-CA</dc:language>
  <cp:lastModifiedBy>rhemsto</cp:lastModifiedBy>
  <cp:lastPrinted>2000-02-24T14:24:00Z</cp:lastPrinted>
  <dcterms:modified xsi:type="dcterms:W3CDTF">2000-11-26T03:26:00Z</dcterms:modified>
  <cp:revision>2</cp:revision>
  <dc:subject/>
  <dc:title>Eron Capital &amp; Trade Resources Memo</dc:title>
</cp:coreProperties>
</file>