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Awais Omar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Stacy Dickson (Enron North America)</w:t>
            </w:r>
          </w:p>
          <w:p>
            <w:pPr>
              <w:pStyle w:val="Normal"/>
              <w:rPr>
                <w:sz w:val="18"/>
              </w:rPr>
            </w:pPr>
            <w:r>
              <w:rPr>
                <w:sz w:val="18"/>
              </w:rPr>
              <w:t>Jon McKay (Enron Canada)</w:t>
            </w:r>
          </w:p>
          <w:p>
            <w:pPr>
              <w:pStyle w:val="Normal"/>
              <w:rPr>
                <w:sz w:val="18"/>
              </w:rPr>
            </w:pPr>
            <w:r>
              <w:rPr>
                <w:sz w:val="18"/>
              </w:rPr>
              <w:t>Grant Oh (Enron Canada)</w:t>
            </w:r>
          </w:p>
          <w:p>
            <w:pPr>
              <w:pStyle w:val="Normal"/>
              <w:rPr>
                <w:sz w:val="18"/>
              </w:rPr>
            </w:pPr>
            <w:r>
              <w:rPr>
                <w:sz w:val="18"/>
              </w:rPr>
              <w:t>Dianne Seib (Enron Canada)</w:t>
            </w:r>
          </w:p>
          <w:p>
            <w:pPr>
              <w:pStyle w:val="Normal"/>
              <w:rPr>
                <w:sz w:val="18"/>
              </w:rPr>
            </w:pPr>
            <w:r>
              <w:rPr>
                <w:sz w:val="18"/>
              </w:rPr>
              <w:t>Mark Taylor (Enron North America)</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Greg Johnston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Long Description of Canadian Tokenized Periods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start="90" w:end="0"/>
        <w:jc w:val="both"/>
        <w:rPr>
          <w:sz w:val="22"/>
        </w:rPr>
      </w:pPr>
      <w:r>
        <w:rPr>
          <w:sz w:val="22"/>
        </w:rPr>
      </w:r>
      <w:bookmarkStart w:id="1" w:name="StartOfMemo"/>
      <w:bookmarkStart w:id="2" w:name="StartOfMemo"/>
      <w:bookmarkEnd w:id="2"/>
    </w:p>
    <w:p>
      <w:pPr>
        <w:pStyle w:val="Body"/>
        <w:ind w:start="90" w:end="0"/>
        <w:jc w:val="both"/>
        <w:rPr>
          <w:sz w:val="22"/>
        </w:rPr>
      </w:pPr>
      <w:r>
        <w:rPr>
          <w:sz w:val="22"/>
        </w:rPr>
      </w:r>
    </w:p>
    <w:p>
      <w:pPr>
        <w:pStyle w:val="Body"/>
        <w:ind w:start="90" w:end="0"/>
        <w:jc w:val="both"/>
        <w:rPr>
          <w:sz w:val="22"/>
        </w:rPr>
      </w:pPr>
      <w:r>
        <w:rPr>
          <w:sz w:val="22"/>
        </w:rPr>
        <w:t>Further to a request from Grant Oh, this memo is intended to provide you with the long form descriptions for same day (if applicable), day ahead, weekend and rest of month periods for Canadian delivery points.  Because these descriptions are different depending on whether the delivery point is Sumas/Huntingdon/Station 2 or NIT, it is necessary to provide you with long descriptions for each.</w:t>
      </w:r>
    </w:p>
    <w:p>
      <w:pPr>
        <w:pStyle w:val="Body"/>
        <w:ind w:start="90" w:end="0"/>
        <w:jc w:val="both"/>
        <w:rPr>
          <w:sz w:val="22"/>
        </w:rPr>
      </w:pPr>
      <w:r>
        <w:rPr>
          <w:sz w:val="22"/>
        </w:rPr>
      </w:r>
    </w:p>
    <w:p>
      <w:pPr>
        <w:pStyle w:val="Body"/>
        <w:numPr>
          <w:ilvl w:val="0"/>
          <w:numId w:val="4"/>
        </w:numPr>
        <w:jc w:val="both"/>
        <w:rPr>
          <w:sz w:val="22"/>
        </w:rPr>
      </w:pPr>
      <w:r>
        <w:rPr>
          <w:sz w:val="22"/>
          <w:u w:val="single"/>
        </w:rPr>
        <w:t>Sumas/Huntingdon/Station 2</w:t>
      </w:r>
    </w:p>
    <w:p>
      <w:pPr>
        <w:pStyle w:val="Body"/>
        <w:ind w:start="90" w:end="0"/>
        <w:jc w:val="both"/>
        <w:rPr>
          <w:sz w:val="22"/>
        </w:rPr>
      </w:pPr>
      <w:r>
        <w:rPr>
          <w:sz w:val="22"/>
        </w:rPr>
      </w:r>
    </w:p>
    <w:p>
      <w:pPr>
        <w:pStyle w:val="Body"/>
        <w:numPr>
          <w:ilvl w:val="0"/>
          <w:numId w:val="3"/>
        </w:numPr>
        <w:jc w:val="both"/>
        <w:rPr>
          <w:sz w:val="22"/>
        </w:rPr>
      </w:pPr>
      <w:r>
        <w:rPr>
          <w:sz w:val="22"/>
        </w:rPr>
        <w:t>Day Ahead and Weekends</w:t>
      </w:r>
    </w:p>
    <w:p>
      <w:pPr>
        <w:pStyle w:val="Body"/>
        <w:jc w:val="both"/>
        <w:rPr>
          <w:sz w:val="22"/>
        </w:rPr>
      </w:pPr>
      <w:r>
        <w:rPr>
          <w:sz w:val="22"/>
        </w:rPr>
      </w:r>
    </w:p>
    <w:p>
      <w:pPr>
        <w:pStyle w:val="Body"/>
        <w:ind w:start="1440" w:end="0"/>
        <w:jc w:val="both"/>
        <w:rPr>
          <w:sz w:val="22"/>
        </w:rPr>
      </w:pPr>
      <w:r>
        <w:rPr>
          <w:sz w:val="22"/>
        </w:rPr>
        <w:t>If the transaction is consummated prior to 11:00 a.m. Central Standard Time on a trade day, the transaction is for delivery from and including the next day following the trade day to and including the next Delivery Day following the trade date or, if the transaction is consummated after 11:00 a.m. Central Standard Time on a trade day, the transaction is for delivery from and including the second day following the trade day to and including the next Delivery Day following the day after the trade date; where “Delivery Day” is any day which is both (i) a Monday, Tuesday, Wednesday, Thursday or Friday and (ii) a NYMEX trading day.</w:t>
      </w:r>
    </w:p>
    <w:p>
      <w:pPr>
        <w:pStyle w:val="Body"/>
        <w:jc w:val="both"/>
        <w:rPr>
          <w:sz w:val="22"/>
        </w:rPr>
      </w:pPr>
      <w:r>
        <w:rPr>
          <w:sz w:val="22"/>
        </w:rPr>
      </w:r>
    </w:p>
    <w:p>
      <w:pPr>
        <w:pStyle w:val="Body"/>
        <w:numPr>
          <w:ilvl w:val="0"/>
          <w:numId w:val="3"/>
        </w:numPr>
        <w:jc w:val="both"/>
        <w:rPr>
          <w:sz w:val="22"/>
        </w:rPr>
      </w:pPr>
      <w:r>
        <w:rPr>
          <w:sz w:val="22"/>
        </w:rPr>
        <w:t>Rest of Month</w:t>
      </w:r>
    </w:p>
    <w:p>
      <w:pPr>
        <w:pStyle w:val="Body"/>
        <w:jc w:val="both"/>
        <w:rPr>
          <w:sz w:val="22"/>
        </w:rPr>
      </w:pPr>
      <w:r>
        <w:rPr>
          <w:sz w:val="22"/>
        </w:rPr>
      </w:r>
    </w:p>
    <w:p>
      <w:pPr>
        <w:pStyle w:val="Body"/>
        <w:ind w:start="1440" w:end="0"/>
        <w:jc w:val="both"/>
        <w:rPr>
          <w:sz w:val="22"/>
        </w:rPr>
      </w:pPr>
      <w:r>
        <w:rPr>
          <w:sz w:val="22"/>
        </w:rPr>
        <w:t>If the transaction is consummated prior to 11:00 a.m. Central Standard Time on a trade day, the transaction is for delivery from and including the next week day following the trade day to and including the last calendar day of such calendar month, or, if the transaction is consummated after 11:00 a.m. Central Standard Time on a trade day, the transaction is for delivery from and including the second week day following the trade day to and including the last calendar day of such calendar month.</w:t>
      </w:r>
    </w:p>
    <w:p>
      <w:pPr>
        <w:pStyle w:val="Body"/>
        <w:jc w:val="both"/>
        <w:rPr>
          <w:sz w:val="22"/>
        </w:rPr>
      </w:pPr>
      <w:r>
        <w:rPr>
          <w:sz w:val="22"/>
        </w:rPr>
      </w:r>
    </w:p>
    <w:p>
      <w:pPr>
        <w:pStyle w:val="Body"/>
        <w:numPr>
          <w:ilvl w:val="0"/>
          <w:numId w:val="4"/>
        </w:numPr>
        <w:jc w:val="both"/>
        <w:rPr>
          <w:sz w:val="22"/>
        </w:rPr>
      </w:pPr>
      <w:r>
        <w:rPr>
          <w:sz w:val="22"/>
          <w:u w:val="single"/>
        </w:rPr>
        <w:t>NOVA Inventory Transfer Delivery Point</w:t>
      </w:r>
    </w:p>
    <w:p>
      <w:pPr>
        <w:pStyle w:val="Body"/>
        <w:jc w:val="both"/>
        <w:rPr>
          <w:sz w:val="22"/>
        </w:rPr>
      </w:pPr>
      <w:r>
        <w:rPr>
          <w:sz w:val="22"/>
        </w:rPr>
      </w:r>
    </w:p>
    <w:p>
      <w:pPr>
        <w:pStyle w:val="Body"/>
        <w:numPr>
          <w:ilvl w:val="0"/>
          <w:numId w:val="2"/>
        </w:numPr>
        <w:jc w:val="both"/>
        <w:rPr>
          <w:sz w:val="22"/>
        </w:rPr>
      </w:pPr>
      <w:r>
        <w:rPr>
          <w:sz w:val="22"/>
        </w:rPr>
        <w:t>Same Day</w:t>
      </w:r>
    </w:p>
    <w:p>
      <w:pPr>
        <w:pStyle w:val="Body"/>
        <w:jc w:val="both"/>
        <w:rPr>
          <w:sz w:val="22"/>
        </w:rPr>
      </w:pPr>
      <w:r>
        <w:rPr>
          <w:sz w:val="22"/>
        </w:rPr>
      </w:r>
    </w:p>
    <w:p>
      <w:pPr>
        <w:pStyle w:val="Body"/>
        <w:ind w:start="1440" w:end="0"/>
        <w:jc w:val="both"/>
        <w:rPr>
          <w:sz w:val="22"/>
        </w:rPr>
      </w:pPr>
      <w:r>
        <w:rPr>
          <w:sz w:val="22"/>
        </w:rPr>
        <w:t xml:space="preserve">The transaction is for delivery on the trade day.  </w:t>
      </w:r>
      <w:r>
        <w:br w:type="page"/>
      </w:r>
    </w:p>
    <w:p>
      <w:pPr>
        <w:pStyle w:val="Body"/>
        <w:jc w:val="both"/>
        <w:rPr>
          <w:sz w:val="22"/>
        </w:rPr>
      </w:pPr>
      <w:r>
        <w:rPr>
          <w:sz w:val="22"/>
        </w:rPr>
      </w:r>
    </w:p>
    <w:p>
      <w:pPr>
        <w:pStyle w:val="Body"/>
        <w:numPr>
          <w:ilvl w:val="0"/>
          <w:numId w:val="2"/>
        </w:numPr>
        <w:jc w:val="both"/>
        <w:rPr>
          <w:sz w:val="22"/>
        </w:rPr>
      </w:pPr>
      <w:r>
        <w:rPr>
          <w:sz w:val="22"/>
        </w:rPr>
        <w:t>Day Ahead</w:t>
      </w:r>
    </w:p>
    <w:p>
      <w:pPr>
        <w:pStyle w:val="Body"/>
        <w:ind w:start="0" w:end="0"/>
        <w:jc w:val="both"/>
        <w:rPr>
          <w:sz w:val="22"/>
        </w:rPr>
      </w:pPr>
      <w:r>
        <w:rPr>
          <w:sz w:val="22"/>
        </w:rPr>
      </w:r>
    </w:p>
    <w:p>
      <w:pPr>
        <w:pStyle w:val="Body"/>
        <w:ind w:start="1440" w:end="0"/>
        <w:jc w:val="both"/>
        <w:rPr>
          <w:sz w:val="22"/>
        </w:rPr>
      </w:pPr>
      <w:r>
        <w:rPr>
          <w:sz w:val="22"/>
        </w:rPr>
        <w:t>The transaction is for delivery from and including the next day following the trade day to and including the next Delivery Day following the trade day; where “Delivery Day” is any day which is both (i) a Monday, Tuesday, Wednesday, Thursday or Friday and (ii) a NYMEX trading day.</w:t>
      </w:r>
      <w:r>
        <w:rPr>
          <w:b/>
          <w:sz w:val="22"/>
        </w:rPr>
        <w:t xml:space="preserve"> </w:t>
      </w:r>
    </w:p>
    <w:p>
      <w:pPr>
        <w:pStyle w:val="Body"/>
        <w:jc w:val="both"/>
        <w:rPr>
          <w:sz w:val="22"/>
        </w:rPr>
      </w:pPr>
      <w:r>
        <w:rPr>
          <w:sz w:val="22"/>
        </w:rPr>
      </w:r>
    </w:p>
    <w:p>
      <w:pPr>
        <w:pStyle w:val="Body"/>
        <w:numPr>
          <w:ilvl w:val="0"/>
          <w:numId w:val="2"/>
        </w:numPr>
        <w:jc w:val="both"/>
        <w:rPr>
          <w:sz w:val="22"/>
        </w:rPr>
      </w:pPr>
      <w:r>
        <w:rPr>
          <w:sz w:val="22"/>
        </w:rPr>
        <w:t>Week-end (including Friday and Monday holidays)</w:t>
      </w:r>
    </w:p>
    <w:p>
      <w:pPr>
        <w:pStyle w:val="Body"/>
        <w:jc w:val="both"/>
        <w:rPr>
          <w:sz w:val="22"/>
        </w:rPr>
      </w:pPr>
      <w:r>
        <w:rPr>
          <w:sz w:val="22"/>
        </w:rPr>
      </w:r>
    </w:p>
    <w:p>
      <w:pPr>
        <w:pStyle w:val="Body"/>
        <w:ind w:start="1440" w:end="0"/>
        <w:jc w:val="both"/>
        <w:rPr>
          <w:b/>
          <w:sz w:val="22"/>
        </w:rPr>
      </w:pPr>
      <w:r>
        <w:rPr>
          <w:sz w:val="22"/>
        </w:rPr>
        <w:t>The transaction is for delivery from and including the trade day to and including the next day which immediately precedes the first Delivery Day following the trade date; where “Delivery Day” is any day which is both (i) a Monday, Tuesday, Wednesday, Thursday or Friday and (ii) a NYMEX trading day.</w:t>
      </w:r>
    </w:p>
    <w:p>
      <w:pPr>
        <w:pStyle w:val="Body"/>
        <w:jc w:val="both"/>
        <w:rPr>
          <w:b/>
          <w:sz w:val="22"/>
        </w:rPr>
      </w:pPr>
      <w:r>
        <w:rPr>
          <w:b/>
          <w:sz w:val="22"/>
        </w:rPr>
      </w:r>
    </w:p>
    <w:p>
      <w:pPr>
        <w:pStyle w:val="Body"/>
        <w:numPr>
          <w:ilvl w:val="0"/>
          <w:numId w:val="2"/>
        </w:numPr>
        <w:jc w:val="both"/>
        <w:rPr>
          <w:sz w:val="22"/>
        </w:rPr>
      </w:pPr>
      <w:r>
        <w:rPr>
          <w:sz w:val="22"/>
        </w:rPr>
        <w:t>Rest of Month</w:t>
      </w:r>
    </w:p>
    <w:p>
      <w:pPr>
        <w:pStyle w:val="Body"/>
        <w:jc w:val="both"/>
        <w:rPr>
          <w:sz w:val="22"/>
        </w:rPr>
      </w:pPr>
      <w:r>
        <w:rPr>
          <w:sz w:val="22"/>
        </w:rPr>
      </w:r>
    </w:p>
    <w:p>
      <w:pPr>
        <w:pStyle w:val="Body"/>
        <w:ind w:start="1440" w:end="0"/>
        <w:jc w:val="both"/>
        <w:rPr>
          <w:sz w:val="22"/>
        </w:rPr>
      </w:pPr>
      <w:r>
        <w:rPr>
          <w:sz w:val="22"/>
        </w:rPr>
        <w:t xml:space="preserve">The transaction is for delivery from and including the next calendar day following the trade day to and including the last calendar day of such calendar month.  </w:t>
      </w:r>
    </w:p>
    <w:p>
      <w:pPr>
        <w:pStyle w:val="Body"/>
        <w:jc w:val="both"/>
        <w:rPr>
          <w:sz w:val="22"/>
        </w:rPr>
      </w:pPr>
      <w:r>
        <w:rPr>
          <w:sz w:val="22"/>
        </w:rPr>
      </w:r>
    </w:p>
    <w:p>
      <w:pPr>
        <w:pStyle w:val="Body"/>
        <w:jc w:val="both"/>
        <w:rPr>
          <w:sz w:val="22"/>
        </w:rPr>
      </w:pPr>
      <w:r>
        <w:rPr>
          <w:sz w:val="22"/>
        </w:rPr>
        <w:t>If you have any questions or concerns with respect to the above, please do not hesitate to contact me at (403) 974-6745 or Grant Oh at (403) 974-6778.</w:t>
      </w:r>
    </w:p>
    <w:p>
      <w:pPr>
        <w:pStyle w:val="Body"/>
        <w:ind w:start="90" w:end="0"/>
        <w:jc w:val="both"/>
        <w:rPr>
          <w:sz w:val="22"/>
        </w:rPr>
      </w:pPr>
      <w:r>
        <w:rPr>
          <w:sz w:val="22"/>
        </w:rPr>
      </w:r>
    </w:p>
    <w:p>
      <w:pPr>
        <w:pStyle w:val="Body"/>
        <w:ind w:start="90" w:end="0"/>
        <w:jc w:val="both"/>
        <w:rPr>
          <w:sz w:val="22"/>
        </w:rPr>
      </w:pPr>
      <w:r>
        <w:rPr>
          <w:sz w:val="22"/>
        </w:rPr>
        <w:t xml:space="preserve">Thanks, </w:t>
      </w:r>
    </w:p>
    <w:p>
      <w:pPr>
        <w:pStyle w:val="Body"/>
        <w:ind w:start="90" w:end="0"/>
        <w:jc w:val="both"/>
        <w:rPr>
          <w:sz w:val="22"/>
        </w:rPr>
      </w:pPr>
      <w:r>
        <w:rPr>
          <w:sz w:val="22"/>
        </w:rPr>
        <w:t>Greg Johnston</w:t>
      </w:r>
    </w:p>
    <w:p>
      <w:pPr>
        <w:pStyle w:val="Body"/>
        <w:ind w:start="90" w:end="0"/>
        <w:jc w:val="both"/>
        <w:rPr>
          <w:b/>
          <w:sz w:val="22"/>
        </w:rPr>
      </w:pPr>
      <w:r>
        <w:rPr>
          <w:b/>
          <w:sz w:val="22"/>
        </w:rPr>
      </w:r>
    </w:p>
    <w:p>
      <w:pPr>
        <w:pStyle w:val="Body"/>
        <w:ind w:start="90" w:end="0"/>
        <w:jc w:val="both"/>
        <w:rPr>
          <w:b/>
          <w:sz w:val="22"/>
        </w:rPr>
      </w:pPr>
      <w:r>
        <w:rPr>
          <w:b/>
          <w:sz w:val="22"/>
        </w:rPr>
      </w:r>
    </w:p>
    <w:p>
      <w:pPr>
        <w:pStyle w:val="Body"/>
        <w:ind w:start="90" w:end="0"/>
        <w:jc w:val="both"/>
        <w:rPr>
          <w:sz w:val="22"/>
        </w:rPr>
      </w:pPr>
      <w:r>
        <w:rPr>
          <w:sz w:val="22"/>
        </w:rPr>
        <w:t>GJ/ls</w:t>
      </w:r>
    </w:p>
    <w:p>
      <w:pPr>
        <w:pStyle w:val="Body"/>
        <w:ind w:start="90" w:end="0"/>
        <w:jc w:val="both"/>
        <w:rPr>
          <w:sz w:val="22"/>
        </w:rPr>
      </w:pPr>
      <w:r>
        <w:rPr>
          <w:sz w:val="22"/>
        </w:rPr>
      </w:r>
    </w:p>
    <w:p>
      <w:pPr>
        <w:pStyle w:val="Body"/>
        <w:ind w:start="90" w:end="0"/>
        <w:jc w:val="both"/>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Arial"/>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/mnt/main-storage/datasets/enron-docs/doc/memo_to_omar_re_enron_online.doc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/mnt/main-storage/datasets/enron-docs/doc/memo_to_omar_re_enron_online.doc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r>
  </w:p>
  <w:p>
    <w:pPr>
      <w:pStyle w:val="Header"/>
      <w:jc w:val="end"/>
      <w:rPr>
        <w:sz w:val="18"/>
      </w:rPr>
    </w:pPr>
    <w:r>
      <w:rPr>
        <w:sz w:val="18"/>
      </w:rPr>
      <w:fldChar w:fldCharType="begin"/>
    </w:r>
    <w:r>
      <w:rPr>
        <w:sz w:val="18"/>
      </w:rPr>
      <w:instrText xml:space="preserve"> DATE \@"M/d/yyyy" </w:instrText>
    </w:r>
    <w:r>
      <w:rPr>
        <w:sz w:val="18"/>
      </w:rPr>
      <w:fldChar w:fldCharType="separate"/>
    </w:r>
    <w:r>
      <w:rPr>
        <w:sz w:val="18"/>
      </w:rPr>
      <w:t>9/28/2025</w:t>
    </w:r>
    <w:r>
      <w:rPr>
        <w:sz w:val="18"/>
      </w:rPr>
      <w:fldChar w:fldCharType="end"/>
    </w:r>
  </w:p>
  <w:p>
    <w:pPr>
      <w:pStyle w:val="Header"/>
      <w:jc w:val="end"/>
      <w:rPr>
        <w:sz w:val="22"/>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decimal"/>
      <w:lvlText w:val="%1."/>
      <w:lvlJc w:val="start"/>
      <w:pPr>
        <w:tabs>
          <w:tab w:val="num" w:pos="720"/>
        </w:tabs>
        <w:ind w:start="720" w:hanging="63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2000-03-01T19:09:00Z</dcterms:created>
  <dc:creator>ncappel</dc:creator>
  <dc:description/>
  <dc:language>en-CA</dc:language>
  <cp:lastModifiedBy>Linda Sietzema</cp:lastModifiedBy>
  <cp:lastPrinted>2000-03-08T16:30:00Z</cp:lastPrinted>
  <dcterms:modified xsi:type="dcterms:W3CDTF">2000-03-08T21:00:00Z</dcterms:modified>
  <cp:revision>13</cp:revision>
  <dc:subject/>
  <dc:title>Eron Capital &amp; Trade Resources Memo</dc:title>
</cp:coreProperties>
</file>