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888490"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1" r="-6" b="-11"/>
                    <a:stretch>
                      <a:fillRect/>
                    </a:stretch>
                  </pic:blipFill>
                  <pic:spPr bwMode="auto">
                    <a:xfrm>
                      <a:off x="0" y="0"/>
                      <a:ext cx="1888490" cy="952500"/>
                    </a:xfrm>
                    <a:prstGeom prst="rect">
                      <a:avLst/>
                    </a:prstGeom>
                    <a:noFill/>
                  </pic:spPr>
                </pic:pic>
              </a:graphicData>
            </a:graphic>
          </wp:inline>
        </w:drawing>
      </w:r>
    </w:p>
    <w:p>
      <w:pPr>
        <w:pStyle w:val="MemoLabel"/>
        <w:spacing w:before="120" w:after="240"/>
        <w:rPr/>
      </w:pPr>
      <w:r>
        <w:rPr/>
        <w:t>Memorandum</w:t>
      </w:r>
    </w:p>
    <w:p>
      <w:pPr>
        <w:pStyle w:val="TopLabel"/>
        <w:spacing w:before="0" w:after="0"/>
        <w:rPr>
          <w:b/>
          <w:bCs/>
          <w:i/>
          <w:i/>
          <w:iCs/>
        </w:rPr>
      </w:pPr>
      <w:r>
        <w:rPr>
          <w:b/>
          <w:bCs/>
          <w:i/>
          <w:iCs/>
        </w:rPr>
      </w:r>
    </w:p>
    <w:p>
      <w:pPr>
        <w:pStyle w:val="TopLabel"/>
        <w:spacing w:before="0" w:after="0"/>
        <w:rPr>
          <w:b/>
          <w:bCs/>
          <w:i/>
          <w:i/>
          <w:iCs/>
        </w:rPr>
      </w:pPr>
      <w:r>
        <w:rPr>
          <w:b/>
          <w:bCs/>
          <w:i/>
          <w:iCs/>
        </w:rPr>
      </w:r>
    </w:p>
    <w:p>
      <w:pPr>
        <w:pStyle w:val="TopLabel"/>
        <w:spacing w:before="0" w:after="0"/>
        <w:rPr>
          <w:b/>
          <w:bCs/>
          <w:i/>
          <w:i/>
          <w:iCs/>
        </w:rPr>
      </w:pPr>
      <w:r>
        <w:rPr>
          <w:b/>
          <w:bCs/>
          <w:i/>
          <w:iCs/>
        </w:rPr>
        <w:t>BY EMAIL</w:t>
      </w:r>
    </w:p>
    <w:p>
      <w:pPr>
        <w:pStyle w:val="TopLabel"/>
        <w:spacing w:before="0" w:after="0"/>
        <w:rPr>
          <w:b/>
          <w:bCs/>
          <w:i/>
          <w:i/>
          <w:iCs/>
        </w:rPr>
      </w:pPr>
      <w:r>
        <w:rPr>
          <w:b/>
          <w:bCs/>
          <w:i/>
          <w:iCs/>
        </w:rPr>
      </w:r>
    </w:p>
    <w:p>
      <w:pPr>
        <w:pStyle w:val="TopLabel"/>
        <w:spacing w:before="0" w:after="0"/>
        <w:rPr/>
      </w:pPr>
      <w:r>
        <w:rPr/>
        <w:tab/>
      </w:r>
      <w:r>
        <w:rPr>
          <w:b/>
        </w:rPr>
        <w:t>To</w:t>
      </w:r>
      <w:r>
        <w:rPr/>
        <w:tab/>
      </w:r>
      <w:bookmarkStart w:id="0" w:name="bmCC"/>
      <w:bookmarkStart w:id="1" w:name="bmTo"/>
      <w:bookmarkEnd w:id="0"/>
      <w:bookmarkEnd w:id="1"/>
      <w:r>
        <w:rPr>
          <w:bCs/>
        </w:rPr>
        <w:t>Kay Mann, Esq.</w:t>
      </w:r>
    </w:p>
    <w:p>
      <w:pPr>
        <w:pStyle w:val="TopLabel"/>
        <w:spacing w:before="0" w:after="0"/>
        <w:rPr>
          <w:bCs/>
        </w:rPr>
      </w:pPr>
      <w:r>
        <w:rPr>
          <w:bCs/>
        </w:rPr>
      </w:r>
    </w:p>
    <w:p>
      <w:pPr>
        <w:pStyle w:val="TopLabel"/>
        <w:rPr/>
      </w:pPr>
      <w:r>
        <w:rPr/>
        <w:tab/>
      </w:r>
      <w:r>
        <w:rPr>
          <w:b/>
        </w:rPr>
        <w:t>From</w:t>
      </w:r>
      <w:r>
        <w:rPr/>
        <w:tab/>
      </w:r>
      <w:bookmarkStart w:id="2" w:name="bmFrom"/>
      <w:bookmarkEnd w:id="2"/>
      <w:r>
        <w:rPr/>
        <w:t>Kerri L. Barsh</w:t>
      </w:r>
    </w:p>
    <w:p>
      <w:pPr>
        <w:pStyle w:val="TopLabel"/>
        <w:rPr/>
      </w:pPr>
      <w:r>
        <w:rPr/>
        <w:tab/>
      </w:r>
      <w:r>
        <w:rPr>
          <w:b/>
        </w:rPr>
        <w:t>Date</w:t>
      </w:r>
      <w:r>
        <w:rPr/>
        <w:tab/>
      </w:r>
      <w:bookmarkStart w:id="3" w:name="bmPriority"/>
      <w:bookmarkStart w:id="4" w:name="bmDate"/>
      <w:bookmarkEnd w:id="3"/>
      <w:bookmarkEnd w:id="4"/>
      <w:r>
        <w:rPr/>
        <w:t>September 10, 2001</w:t>
      </w:r>
    </w:p>
    <w:p>
      <w:pPr>
        <w:pStyle w:val="TopLabel"/>
        <w:pBdr>
          <w:bottom w:val="double" w:sz="6" w:space="12" w:color="000000"/>
        </w:pBdr>
        <w:spacing w:before="0" w:after="0"/>
        <w:rPr/>
      </w:pPr>
      <w:r>
        <w:rPr/>
        <w:tab/>
      </w:r>
      <w:r>
        <w:rPr>
          <w:b/>
        </w:rPr>
        <w:t>Re</w:t>
      </w:r>
      <w:bookmarkStart w:id="5" w:name="bmRe"/>
      <w:bookmarkEnd w:id="5"/>
      <w:r>
        <w:rPr/>
        <w:tab/>
      </w:r>
      <w:r>
        <w:rPr>
          <w:b/>
          <w:bCs/>
        </w:rPr>
        <w:t>Deerfield Beach/Air Permit and Related Issues</w:t>
      </w:r>
    </w:p>
    <w:p>
      <w:pPr>
        <w:pStyle w:val="Normal"/>
        <w:rPr>
          <w:b/>
          <w:bCs/>
        </w:rPr>
      </w:pPr>
      <w:r>
        <w:rPr>
          <w:b/>
          <w:bCs/>
        </w:rPr>
      </w:r>
      <w:bookmarkStart w:id="6" w:name="bmBody"/>
      <w:bookmarkStart w:id="7" w:name="bmBody"/>
      <w:bookmarkEnd w:id="7"/>
    </w:p>
    <w:p>
      <w:pPr>
        <w:pStyle w:val="Normal"/>
        <w:rPr/>
      </w:pPr>
      <w:r>
        <w:rPr/>
        <w:tab/>
        <w:t>Set forth below is a synopsis of our efforts in furtherance of the action items in last Friday’s conference call (August 31, 2001).</w:t>
      </w:r>
    </w:p>
    <w:p>
      <w:pPr>
        <w:pStyle w:val="Normal"/>
        <w:rPr/>
      </w:pPr>
      <w:r>
        <w:rPr/>
      </w:r>
    </w:p>
    <w:p>
      <w:pPr>
        <w:pStyle w:val="Normal"/>
        <w:rPr/>
      </w:pPr>
      <w:r>
        <w:rPr/>
        <w:tab/>
      </w:r>
      <w:r>
        <w:rPr>
          <w:u w:val="single"/>
        </w:rPr>
        <w:t>Bifurcated Hearing Dates</w:t>
      </w:r>
      <w:r>
        <w:rPr/>
        <w:t xml:space="preserve"> - We spoke with the judicial assistant for ALJ Alexander on Tuesday of this week about the potential for a bifurcated hearing.  The judicial assistant advised us that:</w:t>
      </w:r>
    </w:p>
    <w:p>
      <w:pPr>
        <w:pStyle w:val="Normal"/>
        <w:rPr/>
      </w:pPr>
      <w:r>
        <w:rPr/>
      </w:r>
    </w:p>
    <w:p>
      <w:pPr>
        <w:pStyle w:val="Normal"/>
        <w:rPr/>
      </w:pPr>
      <w:r>
        <w:rPr/>
        <w:tab/>
        <w:t>i)</w:t>
        <w:tab/>
        <w:t>ALJ Alexander was away on vacation until September 17, 2001;</w:t>
      </w:r>
    </w:p>
    <w:p>
      <w:pPr>
        <w:pStyle w:val="Normal"/>
        <w:rPr/>
      </w:pPr>
      <w:r>
        <w:rPr/>
      </w:r>
    </w:p>
    <w:p>
      <w:pPr>
        <w:pStyle w:val="Normal"/>
        <w:ind w:hanging="1440" w:start="1440" w:end="0"/>
        <w:rPr/>
      </w:pPr>
      <w:r>
        <w:rPr/>
        <w:tab/>
        <w:t>ii)</w:t>
        <w:tab/>
        <w:t>she was aware that other ALJ’s have conducted bifurcated hearings but that she did not know if Alexander would do so;</w:t>
      </w:r>
    </w:p>
    <w:p>
      <w:pPr>
        <w:pStyle w:val="Normal"/>
        <w:rPr/>
      </w:pPr>
      <w:r>
        <w:rPr/>
      </w:r>
    </w:p>
    <w:p>
      <w:pPr>
        <w:pStyle w:val="Normal"/>
        <w:ind w:hanging="1440" w:start="1440" w:end="0"/>
        <w:rPr/>
      </w:pPr>
      <w:r>
        <w:rPr/>
        <w:tab/>
        <w:t>iii)</w:t>
        <w:tab/>
        <w:t>the earlier dates remain open including a three-day block of time immediately prior to Thanksgiving (but the J.A. cautioned that Alexander may not have those dates open on his personal calendar);</w:t>
      </w:r>
    </w:p>
    <w:p>
      <w:pPr>
        <w:pStyle w:val="Normal"/>
        <w:rPr/>
      </w:pPr>
      <w:r>
        <w:rPr/>
      </w:r>
    </w:p>
    <w:p>
      <w:pPr>
        <w:pStyle w:val="Normal"/>
        <w:ind w:hanging="1440" w:start="1440" w:end="0"/>
        <w:rPr/>
      </w:pPr>
      <w:r>
        <w:rPr/>
        <w:tab/>
        <w:t>iv)</w:t>
        <w:tab/>
        <w:t>she would call us upon Alexander’s return on ALJ Alexander’s thoughts on a bifurcated hearing and confirmation of all remaining hearing dates this year.</w:t>
      </w:r>
    </w:p>
    <w:p>
      <w:pPr>
        <w:pStyle w:val="Normal"/>
        <w:rPr/>
      </w:pPr>
      <w:r>
        <w:rPr/>
      </w:r>
    </w:p>
    <w:p>
      <w:pPr>
        <w:pStyle w:val="Normal"/>
        <w:rPr/>
      </w:pPr>
      <w:r>
        <w:rPr/>
        <w:tab/>
      </w:r>
      <w:r>
        <w:rPr>
          <w:u w:val="single"/>
        </w:rPr>
        <w:t>Permit Modification</w:t>
      </w:r>
      <w:r>
        <w:rPr/>
        <w:t xml:space="preserve"> – I spoke with the attorney in our Tallahassee office who knows Howard Rhodes quite well on her insight into the best way to discuss the NOx limitation.  Maribel recommended that we contact Howard directly by telephone, suspecting that a meeting with Howard would encourage Pat Comer’s attendance and likely intervention.  I believe that we cannot speak with Howard without, at a minimum, advising Teri Donaldson of our desire to do so.</w:t>
      </w:r>
    </w:p>
    <w:p>
      <w:pPr>
        <w:pStyle w:val="Normal"/>
        <w:rPr/>
      </w:pPr>
      <w:r>
        <w:rPr/>
      </w:r>
    </w:p>
    <w:p>
      <w:pPr>
        <w:pStyle w:val="Normal"/>
        <w:rPr/>
      </w:pPr>
      <w:r>
        <w:rPr/>
        <w:tab/>
        <w:t>Prior to the call, I need a complete briefing by Dave Kellermeyer on all the facts surrounding this issue, including, without limitation, DEP staff people involved in the permit review, all communications on the NOx limitation, and any differences in the application submittals between the Pompano Beach and Deerfield Beach facilities or permit submittals.</w:t>
      </w:r>
    </w:p>
    <w:p>
      <w:pPr>
        <w:pStyle w:val="Normal"/>
        <w:rPr/>
      </w:pPr>
      <w:r>
        <w:rPr/>
      </w:r>
    </w:p>
    <w:p>
      <w:pPr>
        <w:pStyle w:val="Normal"/>
        <w:rPr/>
      </w:pPr>
      <w:r>
        <w:rPr/>
        <w:tab/>
      </w:r>
      <w:r>
        <w:rPr>
          <w:u w:val="single"/>
        </w:rPr>
        <w:t>Broward County Ordinance Applicability</w:t>
      </w:r>
      <w:r>
        <w:rPr/>
        <w:t xml:space="preserve"> – Debbie is revising our prior memorandum for your review prior to submittal to Terri Donaldson of DEP.</w:t>
      </w:r>
    </w:p>
    <w:p>
      <w:pPr>
        <w:pStyle w:val="Normal"/>
        <w:rPr>
          <w:sz w:val="14"/>
        </w:rPr>
      </w:pPr>
      <w:r>
        <w:rPr>
          <w:sz w:val="14"/>
        </w:rPr>
      </w:r>
    </w:p>
    <w:p>
      <w:pPr>
        <w:pStyle w:val="Normal"/>
        <w:rPr>
          <w:sz w:val="14"/>
        </w:rPr>
      </w:pPr>
      <w:r>
        <w:rPr>
          <w:sz w:val="14"/>
        </w:rPr>
      </w:r>
    </w:p>
    <w:p>
      <w:pPr>
        <w:pStyle w:val="Normal"/>
        <w:rPr/>
      </w:pPr>
      <w:r>
        <w:rPr>
          <w:sz w:val="14"/>
        </w:rPr>
        <w:tab/>
      </w:r>
      <w:r>
        <w:rPr>
          <w:u w:val="single"/>
        </w:rPr>
        <w:t>Organizational Chart</w:t>
      </w:r>
      <w:r>
        <w:rPr/>
        <w:t xml:space="preserve"> – I sent the chart to each of you on Saturday, September 8</w:t>
      </w:r>
      <w:r>
        <w:rPr>
          <w:vertAlign w:val="superscript"/>
        </w:rPr>
        <w:t>th</w:t>
      </w:r>
      <w:r>
        <w:rPr/>
        <w:t>, at noon.</w:t>
      </w:r>
    </w:p>
    <w:p>
      <w:pPr>
        <w:pStyle w:val="Normal"/>
        <w:rPr/>
      </w:pPr>
      <w:r>
        <w:rPr/>
      </w:r>
    </w:p>
    <w:p>
      <w:pPr>
        <w:pStyle w:val="Normal"/>
        <w:rPr/>
      </w:pPr>
      <w:r>
        <w:rPr/>
        <w:tab/>
      </w:r>
      <w:r>
        <w:rPr>
          <w:u w:val="single"/>
        </w:rPr>
        <w:t>Discovery Update</w:t>
      </w:r>
      <w:r>
        <w:rPr/>
        <w:t xml:space="preserve"> – We transmitted the interrogatories to the petitioning local governments in the Pompano Beach air proceeding on Thursday, September 7th.  The document request will be transmitted shortly.  Copies of all such pleadings will be sent by regular mail to Kay and Steve.</w:t>
      </w:r>
    </w:p>
    <w:p>
      <w:pPr>
        <w:pStyle w:val="Normal"/>
        <w:rPr/>
      </w:pPr>
      <w:r>
        <w:rPr/>
      </w:r>
    </w:p>
    <w:p>
      <w:pPr>
        <w:pStyle w:val="Normal"/>
        <w:rPr/>
      </w:pPr>
      <w:r>
        <w:rPr/>
        <w:tab/>
      </w:r>
      <w:r>
        <w:rPr>
          <w:u w:val="single"/>
        </w:rPr>
        <w:t>Broward’s Amended Leave to Intervene</w:t>
      </w:r>
      <w:r>
        <w:rPr/>
        <w:t xml:space="preserve"> – Earlier on Friday, I received Broward County’s  amended petition for leave to intervene in the Pompano Beach proceeding.  The amended petition is quite similar to the earlier petition.  Kay, upon your review of the amended petition, we should discuss whether you want to file a motion to dismiss.</w:t>
      </w:r>
    </w:p>
    <w:p>
      <w:pPr>
        <w:pStyle w:val="Normal"/>
        <w:rPr/>
      </w:pPr>
      <w:r>
        <w:rPr/>
      </w:r>
    </w:p>
    <w:p>
      <w:pPr>
        <w:pStyle w:val="Normal"/>
        <w:rPr/>
      </w:pPr>
      <w:r>
        <w:rPr/>
        <w:tab/>
        <w:t>Please contact me if I can be of further assistance on any of the foregoing matters.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pLabel"/>
        <w:tabs>
          <w:tab w:val="clear" w:pos="1080"/>
          <w:tab w:val="left" w:pos="720" w:leader="none"/>
          <w:tab w:val="left" w:pos="1440" w:leader="none"/>
        </w:tabs>
        <w:spacing w:before="0" w:after="0"/>
        <w:rPr/>
      </w:pPr>
      <w:r>
        <w:rPr/>
        <w:t>cc:</w:t>
        <w:tab/>
      </w:r>
      <w:r>
        <w:rPr>
          <w:bCs/>
        </w:rPr>
        <w:t>Ben Jacoby</w:t>
      </w:r>
    </w:p>
    <w:p>
      <w:pPr>
        <w:pStyle w:val="Normal"/>
        <w:rPr/>
      </w:pPr>
      <w:r>
        <w:rPr/>
        <w:tab/>
        <w:t>Steven J. Krimsky</w:t>
      </w:r>
    </w:p>
    <w:p>
      <w:pPr>
        <w:pStyle w:val="Normal"/>
        <w:rPr/>
      </w:pPr>
      <w:r>
        <w:rPr/>
        <w:tab/>
        <w:t>Debbie M. orshefsky, Esq.</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360" w:after="0"/>
        <w:rPr>
          <w:sz w:val="14"/>
        </w:rPr>
      </w:pPr>
      <w:bookmarkStart w:id="8" w:name="lpDocsInfo"/>
      <w:r>
        <w:rPr>
          <w:sz w:val="14"/>
        </w:rPr>
        <w:fldChar w:fldCharType="begin"/>
      </w:r>
      <w:r>
        <w:rPr>
          <w:sz w:val="14"/>
        </w:rPr>
        <w:instrText xml:space="preserve"> DOCPROPERTY "gtTagLine"</w:instrText>
      </w:r>
      <w:r>
        <w:rPr>
          <w:sz w:val="14"/>
        </w:rPr>
        <w:fldChar w:fldCharType="separate"/>
      </w:r>
      <w:r>
        <w:rPr>
          <w:sz w:val="14"/>
        </w:rPr>
        <w:t>\\MIA-SRV01\BARSHK\1335860v01\SMR801!.DOC\9/7/01\42292.011300</w:t>
      </w:r>
      <w:r>
        <w:rPr>
          <w:sz w:val="14"/>
        </w:rPr>
        <w:fldChar w:fldCharType="end"/>
      </w:r>
      <w:bookmarkEnd w:id="8"/>
    </w:p>
    <w:sectPr>
      <w:headerReference w:type="default" r:id="rId3"/>
      <w:headerReference w:type="first" r:id="rId4"/>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opLabel"/>
      <w:spacing w:before="0" w:after="0"/>
      <w:rPr/>
    </w:pPr>
    <w:r>
      <w:rPr/>
      <w:tab/>
    </w:r>
    <w:r>
      <w:rPr>
        <w:b/>
      </w:rPr>
      <w:t>To</w:t>
    </w:r>
    <w:r>
      <w:rPr/>
      <w:tab/>
    </w:r>
    <w:r>
      <w:rPr>
        <w:bCs/>
      </w:rPr>
      <w:t>Ben Jacoby</w:t>
    </w:r>
  </w:p>
  <w:p>
    <w:pPr>
      <w:pStyle w:val="TopLabel"/>
      <w:spacing w:before="0" w:after="0"/>
      <w:rPr/>
    </w:pPr>
    <w:r>
      <w:rPr/>
      <w:tab/>
      <w:tab/>
      <w:t xml:space="preserve">Steven J. Krimsky </w:t>
      <w:tab/>
      <w:tab/>
      <w:tab/>
      <w:tab/>
    </w:r>
  </w:p>
  <w:p>
    <w:pPr>
      <w:pStyle w:val="TopLabel"/>
      <w:spacing w:before="0" w:after="0"/>
      <w:rPr>
        <w:bCs/>
      </w:rPr>
    </w:pPr>
    <w:r>
      <w:rPr>
        <w:bCs/>
      </w:rPr>
      <w:tab/>
      <w:tab/>
      <w:t>Kay Mann, Esq.</w:t>
    </w:r>
  </w:p>
  <w:p>
    <w:pPr>
      <w:pStyle w:val="TopLabel"/>
      <w:spacing w:before="0" w:after="0"/>
      <w:rPr/>
    </w:pPr>
    <w:r>
      <w:rPr/>
      <w:tab/>
    </w:r>
    <w:r>
      <w:rPr>
        <w:b/>
      </w:rPr>
      <w:t>Date</w:t>
    </w:r>
    <w:r>
      <w:rPr/>
      <w:tab/>
      <w:t>September 10, 2001</w:t>
    </w:r>
  </w:p>
  <w:p>
    <w:pPr>
      <w:pStyle w:val="TopLabel"/>
      <w:spacing w:before="0" w:after="0"/>
      <w:rPr/>
    </w:pPr>
    <w:r>
      <w:rPr/>
      <w:tab/>
    </w:r>
    <w:r>
      <w:rPr>
        <w:b/>
      </w:rPr>
      <w:t>Page</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gtTLAUPref" w:val="0"/>
    <w:docVar w:name="gtTLDlgPref" w:val="Last page;18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jc w:val="both"/>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TopLabel">
    <w:name w:val="Top Label"/>
    <w:basedOn w:val="Normal"/>
    <w:qFormat/>
    <w:pPr>
      <w:tabs>
        <w:tab w:val="clear" w:pos="720"/>
        <w:tab w:val="clear" w:pos="2160"/>
        <w:tab w:val="clear" w:pos="5040"/>
        <w:tab w:val="right" w:pos="1080" w:leader="none"/>
        <w:tab w:val="left" w:pos="1440" w:leader="none"/>
      </w:tabs>
      <w:spacing w:before="0" w:after="240"/>
      <w:ind w:hanging="1440" w:start="1440" w:end="0"/>
    </w:pPr>
    <w:rPr/>
  </w:style>
  <w:style w:type="paragraph" w:styleId="FootnoteText">
    <w:name w:val="footnote text"/>
    <w:basedOn w:val="Normal"/>
    <w:pPr/>
    <w:rPr>
      <w:sz w:val="20"/>
    </w:rPr>
  </w:style>
  <w:style w:type="paragraph" w:styleId="MemoLabel">
    <w:name w:val="MemoLabel"/>
    <w:basedOn w:val="TopLabel"/>
    <w:qFormat/>
    <w:pPr>
      <w:spacing w:before="480" w:after="480"/>
      <w:ind w:hanging="0" w:start="0" w:end="0"/>
      <w:jc w:val="center"/>
    </w:pPr>
    <w:rPr>
      <w:b/>
      <w:smallCap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KLB Memo with Logo.dot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2001-09-10T15:37:00Z</dcterms:created>
  <dc:creator>shines</dc:creator>
  <dc:description/>
  <dc:language>en-CA</dc:language>
  <cp:lastModifiedBy>shines</cp:lastModifiedBy>
  <cp:lastPrinted>2001-09-10T14:07:00Z</cp:lastPrinted>
  <dcterms:modified xsi:type="dcterms:W3CDTF">2001-09-10T15:37:00Z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\\MIA-SRV01\BARSHK\1335860v01\SMR801!.DOC\9/7/01\42292.011300</vt:lpwstr>
  </property>
</Properties>
</file>