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jc w:val="end"/>
        <w:rPr/>
      </w:pPr>
      <w:r>
        <w:rPr/>
        <w:t>November 2, 2001</w:t>
      </w:r>
    </w:p>
    <w:p>
      <w:pPr>
        <w:pStyle w:val="Normal"/>
        <w:jc w:val="end"/>
        <w:rPr/>
      </w:pPr>
      <w:r>
        <w:rPr/>
      </w:r>
    </w:p>
    <w:p>
      <w:pPr>
        <w:pStyle w:val="Normal"/>
        <w:jc w:val="both"/>
        <w:rPr/>
      </w:pPr>
      <w:r>
        <w:rPr/>
      </w:r>
    </w:p>
    <w:p>
      <w:pPr>
        <w:pStyle w:val="Heading2"/>
        <w:ind w:hanging="0" w:start="0"/>
        <w:rPr/>
      </w:pPr>
      <w:r>
        <w:rPr/>
        <w:t>MEMORANDUM TO REGIONAL, DOCUMENTATION, OPERATIONS</w:t>
      </w:r>
    </w:p>
    <w:p>
      <w:pPr>
        <w:pStyle w:val="Heading2"/>
        <w:ind w:hanging="0" w:start="0"/>
        <w:rPr/>
      </w:pPr>
      <w:r>
        <w:rPr/>
        <w:t>AND MARKET PRACTICE  CONTACTS</w:t>
      </w:r>
    </w:p>
    <w:p>
      <w:pPr>
        <w:pStyle w:val="Normal"/>
        <w:jc w:val="both"/>
        <w:rPr>
          <w:b/>
        </w:rPr>
      </w:pPr>
      <w:r>
        <w:rPr>
          <w:b/>
        </w:rPr>
      </w:r>
    </w:p>
    <w:p>
      <w:pPr>
        <w:pStyle w:val="Normal"/>
        <w:jc w:val="both"/>
        <w:rPr/>
      </w:pPr>
      <w:r>
        <w:rPr/>
        <w:t xml:space="preserve">ISDA is pleased to announce the publication of the User’s Guide to the 2001 ISDA Margin Provisions (the “User’s Guide”).  The User’s Guide provides an overview of the 2001 ISDA Margin Provisions and describes the new architecture for margin arrangements.  The 2001 ISDA Margin Provisions update and simplify the four existing credit support documents in a single document.  Parties using the Provisions can select jurisdiction-specific provisions to apply to their margin arrangements, including under New York law, English law and Japanese law. The Provisions have common operational provisions and incorporate a plain English approach.  In addition, more streamlined timing and dispute resolution procedures are offered. </w:t>
      </w:r>
    </w:p>
    <w:p>
      <w:pPr>
        <w:pStyle w:val="Normal"/>
        <w:jc w:val="both"/>
        <w:rPr/>
      </w:pPr>
      <w:r>
        <w:rPr/>
      </w:r>
    </w:p>
    <w:p>
      <w:pPr>
        <w:pStyle w:val="Normal"/>
        <w:jc w:val="both"/>
        <w:rPr/>
      </w:pPr>
      <w:r>
        <w:rPr/>
        <w:t>The User’s Guide provides detailed comparative charts showing differences between the 2001 ISDA Margin Provisions and the 1994 ISDA Credit Support Annex (New York law) and the 1994 ISDA Credit Support Annex (English law).</w:t>
      </w:r>
    </w:p>
    <w:p>
      <w:pPr>
        <w:pStyle w:val="Normal"/>
        <w:jc w:val="both"/>
        <w:rPr/>
      </w:pPr>
      <w:r>
        <w:rPr/>
      </w:r>
    </w:p>
    <w:p>
      <w:pPr>
        <w:pStyle w:val="Normal"/>
        <w:jc w:val="both"/>
        <w:rPr/>
      </w:pPr>
      <w:r>
        <w:rPr/>
        <w:t xml:space="preserve">A complimentary copy of the Provisions has been sent to the Primary Contact at your firm.  Should you wish to order additional copies, please visit our website at </w:t>
      </w:r>
      <w:hyperlink r:id="rId2">
        <w:r>
          <w:rPr>
            <w:rStyle w:val="Hyperlink"/>
          </w:rPr>
          <w:t>www.isda.org</w:t>
        </w:r>
      </w:hyperlink>
      <w:r>
        <w:rPr/>
        <w:t xml:space="preserve"> where you can order a copy under the Publications Section.</w:t>
      </w:r>
    </w:p>
    <w:p>
      <w:pPr>
        <w:pStyle w:val="Normal"/>
        <w:jc w:val="both"/>
        <w:rPr/>
      </w:pPr>
      <w:r>
        <w:rPr/>
      </w:r>
    </w:p>
    <w:p>
      <w:pPr>
        <w:pStyle w:val="Normal"/>
        <w:jc w:val="both"/>
        <w:rPr/>
      </w:pPr>
      <w:r>
        <w:rPr/>
        <w:t>If you have any questions, please do not hesitate to contact the ISDA office.</w:t>
      </w:r>
    </w:p>
    <w:p>
      <w:pPr>
        <w:pStyle w:val="Normal"/>
        <w:jc w:val="both"/>
        <w:rPr/>
      </w:pPr>
      <w:r>
        <w:rPr/>
      </w:r>
    </w:p>
    <w:p>
      <w:pPr>
        <w:pStyle w:val="Normal"/>
        <w:ind w:firstLine="720" w:start="5040" w:end="0"/>
        <w:jc w:val="both"/>
        <w:rPr/>
      </w:pPr>
      <w:r>
        <w:rPr/>
        <w:tab/>
        <w:tab/>
        <w:tab/>
        <w:tab/>
        <w:tab/>
        <w:t>Kimberly Summe</w:t>
      </w:r>
    </w:p>
    <w:p>
      <w:pPr>
        <w:pStyle w:val="Normal"/>
        <w:ind w:firstLine="720" w:start="5040" w:end="0"/>
        <w:jc w:val="both"/>
        <w:rPr/>
      </w:pPr>
      <w:r>
        <w:rPr/>
        <w:t>General Counsel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sz w:val="22"/>
        </w:rPr>
      </w:pPr>
      <w:r>
        <w:rPr>
          <w:sz w:val="22"/>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810" w:end="0"/>
      <w:rPr>
        <w:caps/>
        <w:sz w:val="20"/>
        <w:lang w:val="en-CA" w:eastAsia="en-CA"/>
      </w:rPr>
    </w:pPr>
    <w:r>
      <w:rPr>
        <w:caps/>
        <w:sz w:val="20"/>
        <w:lang w:val="en-CA" w:eastAsia="en-CA"/>
      </w:rPr>
      <mc:AlternateContent>
        <mc:Choice Requires="wps">
          <w:drawing>
            <wp:anchor behindDoc="1" distT="0" distB="0" distL="114935" distR="114935" simplePos="0" locked="0" layoutInCell="1" allowOverlap="1" relativeHeight="2">
              <wp:simplePos x="0" y="0"/>
              <wp:positionH relativeFrom="column">
                <wp:posOffset>548640</wp:posOffset>
              </wp:positionH>
              <wp:positionV relativeFrom="paragraph">
                <wp:posOffset>127000</wp:posOffset>
              </wp:positionV>
              <wp:extent cx="4480560" cy="0"/>
              <wp:effectExtent l="0" t="5080" r="0" b="5080"/>
              <wp:wrapNone/>
              <wp:docPr id="1" name=""/>
              <a:graphic xmlns:a="http://schemas.openxmlformats.org/drawingml/2006/main">
                <a:graphicData uri="http://schemas.microsoft.com/office/word/2010/wordprocessingShape">
                  <wps:wsp>
                    <wps:cNvSpPr/>
                    <wps:spPr>
                      <a:xfrm>
                        <a:off x="0" y="0"/>
                        <a:ext cx="4480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2pt,10pt" to="395.95pt,10pt" stroked="t" o:allowincell="f" style="position:absolute">
              <v:stroke color="black" weight="9360" joinstyle="miter" endcap="flat"/>
              <v:fill o:detectmouseclick="t" on="false"/>
              <w10:wrap type="none"/>
            </v:line>
          </w:pict>
        </mc:Fallback>
      </mc:AlternateContent>
    </w:r>
  </w:p>
  <w:p>
    <w:pPr>
      <w:pStyle w:val="Footer"/>
      <w:ind w:start="-810" w:end="0"/>
      <w:rPr>
        <w:caps/>
        <w:sz w:val="20"/>
      </w:rPr>
    </w:pPr>
    <w:r>
      <w:rPr>
        <w:caps/>
        <w:sz w:val="20"/>
      </w:rPr>
    </w:r>
  </w:p>
  <w:p>
    <w:pPr>
      <w:pStyle w:val="Footer"/>
      <w:ind w:start="-810" w:end="0"/>
      <w:jc w:val="center"/>
      <w:rPr>
        <w:caps/>
        <w:sz w:val="20"/>
      </w:rPr>
    </w:pPr>
    <w:r>
      <w:rPr>
        <w:caps/>
        <w:sz w:val="20"/>
      </w:rPr>
      <w:t>new york   •   london   •   singapore    •   tokyo</w:t>
    </w:r>
  </w:p>
  <w:p>
    <w:pPr>
      <w:pStyle w:val="Footer"/>
      <w:rPr>
        <w:caps/>
        <w:sz w:val="20"/>
      </w:rPr>
    </w:pPr>
    <w:r>
      <w:rPr>
        <w:caps/>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rStyle w:val="PageNumber"/>
      </w:rPr>
    </w:pPr>
    <w:r>
      <w:rPr>
        <w:b/>
        <w:sz w:val="52"/>
      </w:rPr>
      <w:t>ISDA</w:t>
    </w:r>
    <w:r>
      <w:rPr/>
      <w:t xml:space="preserve"> </w:t>
    </w:r>
    <w:r>
      <w:rPr>
        <w:sz w:val="20"/>
      </w:rPr>
      <w:t>International Swaps and Derivatives Association, Inc.</w:t>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ind w:start="-720" w:end="0"/>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b/>
        <w:sz w:val="96"/>
      </w:rPr>
    </w:pPr>
    <w:r>
      <w:rPr>
        <w:b/>
        <w:sz w:val="96"/>
      </w:rPr>
      <w:t>ISDA</w:t>
    </w:r>
  </w:p>
  <w:p>
    <w:pPr>
      <w:pStyle w:val="Header"/>
      <w:ind w:start="-720" w:end="0"/>
      <w:rPr>
        <w:sz w:val="20"/>
      </w:rPr>
    </w:pPr>
    <w:r>
      <w:rPr>
        <w:sz w:val="20"/>
      </w:rPr>
      <w:t>International Swaps and Derivatives Association, Inc.</w:t>
    </w:r>
  </w:p>
  <w:p>
    <w:pPr>
      <w:pStyle w:val="Header"/>
      <w:ind w:start="-720" w:end="0"/>
      <w:rPr/>
    </w:pPr>
    <w:r>
      <w:rPr>
        <w:sz w:val="20"/>
      </w:rPr>
      <w:t>600 Fifth Avenue, 27</w:t>
    </w:r>
    <w:r>
      <w:rPr>
        <w:sz w:val="20"/>
        <w:vertAlign w:val="superscript"/>
      </w:rPr>
      <w:t>th</w:t>
    </w:r>
    <w:r>
      <w:rPr>
        <w:sz w:val="20"/>
      </w:rPr>
      <w:t xml:space="preserve"> Floor</w:t>
    </w:r>
  </w:p>
  <w:p>
    <w:pPr>
      <w:pStyle w:val="Header"/>
      <w:ind w:start="-720" w:end="0"/>
      <w:rPr>
        <w:sz w:val="20"/>
      </w:rPr>
    </w:pPr>
    <w:r>
      <w:rPr>
        <w:sz w:val="20"/>
      </w:rPr>
      <w:t>Rockefeller Center</w:t>
    </w:r>
  </w:p>
  <w:p>
    <w:pPr>
      <w:pStyle w:val="Header"/>
      <w:ind w:start="-720" w:end="0"/>
      <w:rPr>
        <w:sz w:val="20"/>
      </w:rPr>
    </w:pPr>
    <w:r>
      <w:rPr>
        <w:sz w:val="20"/>
      </w:rPr>
      <w:t>New York, NY 10020-2302</w:t>
    </w:r>
  </w:p>
  <w:p>
    <w:pPr>
      <w:pStyle w:val="Header"/>
      <w:ind w:start="-720" w:end="0"/>
      <w:rPr>
        <w:sz w:val="20"/>
      </w:rPr>
    </w:pPr>
    <w:r>
      <w:rPr>
        <w:sz w:val="20"/>
      </w:rPr>
      <w:t>United States of America</w:t>
    </w:r>
  </w:p>
  <w:p>
    <w:pPr>
      <w:pStyle w:val="Header"/>
      <w:ind w:start="-720" w:end="0"/>
      <w:rPr>
        <w:sz w:val="20"/>
      </w:rPr>
    </w:pPr>
    <w:r>
      <w:rPr>
        <w:sz w:val="20"/>
      </w:rPr>
      <w:t>Telephone: (212) 332-1200</w:t>
    </w:r>
  </w:p>
  <w:p>
    <w:pPr>
      <w:pStyle w:val="Header"/>
      <w:ind w:start="-720" w:end="0"/>
      <w:rPr>
        <w:sz w:val="20"/>
      </w:rPr>
    </w:pPr>
    <w:r>
      <w:rPr>
        <w:sz w:val="20"/>
      </w:rPr>
      <w:t>Facsimile: (212) 332-1212</w:t>
    </w:r>
  </w:p>
  <w:p>
    <w:pPr>
      <w:pStyle w:val="Header"/>
      <w:ind w:start="-720" w:end="0"/>
      <w:rPr>
        <w:sz w:val="20"/>
      </w:rPr>
    </w:pPr>
    <w:r>
      <w:rPr>
        <w:sz w:val="20"/>
      </w:rPr>
      <w:t>email: isda@isda.org</w:t>
    </w:r>
  </w:p>
  <w:p>
    <w:pPr>
      <w:pStyle w:val="Header"/>
      <w:ind w:start="-720" w:end="0"/>
      <w:rPr>
        <w:sz w:val="20"/>
      </w:rPr>
    </w:pPr>
    <w:r>
      <w:rPr>
        <w:sz w:val="20"/>
      </w:rPr>
      <w:t>website: www.isda.org</w:t>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Header"/>
    <w:pPr>
      <w:jc w:val="center"/>
    </w:pPr>
    <w:rPr>
      <w:caps/>
      <w:sz w:val="28"/>
    </w:rPr>
  </w:style>
  <w:style w:type="paragraph" w:styleId="TOC2">
    <w:name w:val="toc 2"/>
    <w:basedOn w:val="Normal"/>
    <w:next w:val="Heading1"/>
    <w:pPr>
      <w:ind w:hanging="720" w:start="720" w:end="0"/>
    </w:pPr>
    <w:rPr>
      <w:b/>
      <w:caps/>
    </w:rPr>
  </w:style>
  <w:style w:type="paragraph" w:styleId="TOC3">
    <w:name w:val="toc 3"/>
    <w:basedOn w:val="Normal"/>
    <w:next w:val="Heading2"/>
    <w:pPr>
      <w:ind w:hanging="720" w:start="1440" w:end="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6"/>
      <w:ind w:firstLine="720" w:start="0" w:end="0"/>
      <w:jc w:val="both"/>
    </w:pPr>
    <w:rPr>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da.org/"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ISDA Letterhead2</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2001-11-02T15:43:00Z</dcterms:created>
  <dc:creator>Barbara Hanlon</dc:creator>
  <dc:description/>
  <dc:language>en-CA</dc:language>
  <cp:lastModifiedBy>bwalsh</cp:lastModifiedBy>
  <cp:lastPrinted>2001-09-05T17:30:00Z</cp:lastPrinted>
  <dcterms:modified xsi:type="dcterms:W3CDTF">2001-11-02T15:43:00Z</dcterms:modified>
  <cp:revision>2</cp:revision>
  <dc:subject/>
  <dc:title>November 2, 2001</dc:title>
</cp:coreProperties>
</file>